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031E0">
      <w:pPr>
        <w:ind w:firstLine="643" w:firstLineChars="200"/>
        <w:jc w:val="left"/>
        <w:rPr>
          <w:rFonts w:hint="eastAsia" w:ascii="Verdana" w:hAnsi="Verdana" w:eastAsia="仿宋_GB2312"/>
          <w:sz w:val="32"/>
        </w:rPr>
      </w:pPr>
      <w:r>
        <w:rPr>
          <w:rFonts w:hint="eastAsia" w:ascii="Verdana" w:hAnsi="Verdana" w:eastAsia="仿宋_GB2312"/>
          <w:b/>
          <w:color w:val="0000FF"/>
          <w:sz w:val="32"/>
        </w:rPr>
        <w:drawing>
          <wp:inline distT="0" distB="0" distL="114300" distR="114300">
            <wp:extent cx="1190625" cy="504825"/>
            <wp:effectExtent l="0" t="0" r="9525" b="9525"/>
            <wp:docPr id="1" name="图片 1" descr="华原-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原-黑"/>
                    <pic:cNvPicPr>
                      <a:picLocks noChangeAspect="1"/>
                    </pic:cNvPicPr>
                  </pic:nvPicPr>
                  <pic:blipFill>
                    <a:blip r:embed="rId8">
                      <a:biLevel thresh="50000"/>
                      <a:grayscl/>
                    </a:blip>
                    <a:stretch>
                      <a:fillRect/>
                    </a:stretch>
                  </pic:blipFill>
                  <pic:spPr>
                    <a:xfrm>
                      <a:off x="0" y="0"/>
                      <a:ext cx="1190625" cy="504825"/>
                    </a:xfrm>
                    <a:prstGeom prst="rect">
                      <a:avLst/>
                    </a:prstGeom>
                    <a:noFill/>
                    <a:ln>
                      <a:noFill/>
                    </a:ln>
                  </pic:spPr>
                </pic:pic>
              </a:graphicData>
            </a:graphic>
          </wp:inline>
        </w:drawing>
      </w:r>
    </w:p>
    <w:p w14:paraId="1A97DE39">
      <w:pPr>
        <w:tabs>
          <w:tab w:val="left" w:pos="4410"/>
        </w:tabs>
        <w:ind w:firstLine="640" w:firstLineChars="200"/>
        <w:jc w:val="left"/>
        <w:rPr>
          <w:rFonts w:ascii="Verdana" w:hAnsi="Verdana" w:eastAsia="仿宋_GB2312"/>
          <w:sz w:val="32"/>
        </w:rPr>
      </w:pPr>
      <w:r>
        <w:rPr>
          <w:rFonts w:ascii="Verdana" w:hAnsi="Verdana" w:eastAsia="仿宋_GB2312"/>
          <w:sz w:val="32"/>
        </w:rPr>
        <w:tab/>
      </w:r>
    </w:p>
    <w:p w14:paraId="744227EB">
      <w:pPr>
        <w:jc w:val="left"/>
        <w:rPr>
          <w:rFonts w:hint="eastAsia" w:ascii="Verdana" w:hAnsi="Verdana" w:eastAsia="仿宋_GB2312"/>
          <w:sz w:val="112"/>
          <w:szCs w:val="112"/>
        </w:rPr>
      </w:pPr>
    </w:p>
    <w:p w14:paraId="293A5329">
      <w:pPr>
        <w:ind w:firstLine="964" w:firstLineChars="100"/>
        <w:jc w:val="center"/>
        <w:rPr>
          <w:rFonts w:hint="eastAsia" w:ascii="Verdana" w:hAnsi="Verdana" w:eastAsia="仿宋_GB2312"/>
          <w:sz w:val="32"/>
          <w:lang w:eastAsia="zh-CN"/>
        </w:rPr>
      </w:pPr>
      <w:r>
        <w:rPr>
          <w:rFonts w:hint="eastAsia" w:ascii="Verdana" w:hAnsi="Verdana" w:eastAsia="仿宋_GB2312"/>
          <w:b/>
          <w:sz w:val="96"/>
          <w:szCs w:val="96"/>
        </w:rPr>
        <w:t>运输合同</w:t>
      </w:r>
    </w:p>
    <w:p w14:paraId="43374C48">
      <w:pPr>
        <w:ind w:firstLine="2349" w:firstLineChars="650"/>
        <w:jc w:val="left"/>
        <w:rPr>
          <w:rFonts w:hint="eastAsia" w:ascii="宋体" w:hAnsi="宋体"/>
          <w:b/>
          <w:sz w:val="36"/>
          <w:szCs w:val="36"/>
        </w:rPr>
      </w:pPr>
    </w:p>
    <w:p w14:paraId="75636D4B">
      <w:pPr>
        <w:ind w:firstLine="2349" w:firstLineChars="650"/>
        <w:jc w:val="left"/>
        <w:rPr>
          <w:rFonts w:hint="eastAsia" w:ascii="宋体" w:hAnsi="宋体"/>
          <w:b/>
          <w:sz w:val="36"/>
          <w:szCs w:val="36"/>
        </w:rPr>
      </w:pPr>
    </w:p>
    <w:p w14:paraId="31F01EDE">
      <w:pPr>
        <w:jc w:val="left"/>
        <w:rPr>
          <w:rFonts w:hint="eastAsia" w:ascii="宋体" w:hAnsi="宋体"/>
          <w:b/>
          <w:sz w:val="36"/>
          <w:szCs w:val="36"/>
        </w:rPr>
      </w:pPr>
      <w:r>
        <w:rPr>
          <w:rFonts w:hint="eastAsia" w:ascii="宋体" w:hAnsi="宋体"/>
          <w:b/>
          <w:sz w:val="36"/>
          <w:szCs w:val="36"/>
        </w:rPr>
        <w:t xml:space="preserve"> </w:t>
      </w:r>
      <w:r>
        <w:rPr>
          <w:rFonts w:ascii="宋体" w:hAnsi="宋体"/>
          <w:b/>
          <w:sz w:val="36"/>
          <w:szCs w:val="36"/>
        </w:rPr>
        <w:t xml:space="preserve">            </w:t>
      </w:r>
    </w:p>
    <w:p w14:paraId="6CCD63EA">
      <w:pPr>
        <w:ind w:firstLine="2349" w:firstLineChars="650"/>
        <w:jc w:val="left"/>
        <w:rPr>
          <w:rFonts w:hint="eastAsia" w:ascii="宋体" w:hAnsi="宋体"/>
          <w:b/>
          <w:sz w:val="36"/>
          <w:szCs w:val="36"/>
        </w:rPr>
      </w:pPr>
    </w:p>
    <w:p w14:paraId="66CDB342">
      <w:pPr>
        <w:ind w:firstLine="2088" w:firstLineChars="650"/>
        <w:jc w:val="left"/>
        <w:rPr>
          <w:rFonts w:hint="eastAsia" w:ascii="宋体" w:hAnsi="宋体"/>
          <w:sz w:val="32"/>
          <w:szCs w:val="32"/>
          <w:u w:val="single"/>
        </w:rPr>
      </w:pPr>
      <w:r>
        <w:rPr>
          <w:rFonts w:hint="eastAsia" w:ascii="宋体" w:hAnsi="宋体"/>
          <w:b/>
          <w:sz w:val="32"/>
          <w:szCs w:val="32"/>
        </w:rPr>
        <w:t>协议号：</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p>
    <w:p w14:paraId="78A6D526">
      <w:pPr>
        <w:jc w:val="left"/>
        <w:rPr>
          <w:rFonts w:hint="eastAsia" w:ascii="宋体" w:hAnsi="宋体"/>
          <w:sz w:val="32"/>
          <w:szCs w:val="32"/>
        </w:rPr>
      </w:pPr>
    </w:p>
    <w:p w14:paraId="6582130B">
      <w:pPr>
        <w:ind w:firstLine="2088" w:firstLineChars="650"/>
        <w:jc w:val="left"/>
        <w:rPr>
          <w:rFonts w:hint="eastAsia" w:ascii="宋体" w:hAnsi="宋体" w:eastAsia="宋体"/>
          <w:b/>
          <w:sz w:val="32"/>
          <w:szCs w:val="32"/>
          <w:u w:val="single"/>
          <w:lang w:eastAsia="zh-CN"/>
        </w:rPr>
      </w:pPr>
      <w:bookmarkStart w:id="0" w:name="OLE_LINK3"/>
      <w:r>
        <w:rPr>
          <w:rFonts w:hint="eastAsia" w:ascii="宋体" w:hAnsi="宋体"/>
          <w:b/>
          <w:sz w:val="32"/>
          <w:szCs w:val="32"/>
        </w:rPr>
        <w:t>甲  方：</w:t>
      </w:r>
      <w:r>
        <w:rPr>
          <w:rFonts w:hint="eastAsia" w:ascii="宋体" w:hAnsi="宋体"/>
          <w:b/>
          <w:sz w:val="32"/>
          <w:szCs w:val="32"/>
          <w:u w:val="single"/>
          <w:lang w:eastAsia="zh-CN"/>
        </w:rPr>
        <w:t>广西华原过滤系统股份有限公司</w:t>
      </w:r>
    </w:p>
    <w:p w14:paraId="5E5BA399">
      <w:pPr>
        <w:ind w:firstLine="2088" w:firstLineChars="650"/>
        <w:jc w:val="left"/>
        <w:rPr>
          <w:rFonts w:hint="eastAsia" w:ascii="宋体" w:hAnsi="宋体"/>
          <w:b/>
          <w:sz w:val="32"/>
          <w:szCs w:val="32"/>
        </w:rPr>
      </w:pPr>
    </w:p>
    <w:p w14:paraId="42417BC6">
      <w:pPr>
        <w:ind w:firstLine="2088" w:firstLineChars="650"/>
        <w:jc w:val="left"/>
        <w:rPr>
          <w:rFonts w:hint="default" w:ascii="宋体" w:hAnsi="宋体" w:eastAsia="宋体"/>
          <w:b/>
          <w:sz w:val="32"/>
          <w:szCs w:val="32"/>
          <w:u w:val="single"/>
          <w:lang w:val="en-US" w:eastAsia="zh-CN"/>
        </w:rPr>
      </w:pPr>
      <w:r>
        <w:rPr>
          <w:rFonts w:hint="eastAsia" w:ascii="宋体" w:hAnsi="宋体"/>
          <w:b/>
          <w:sz w:val="32"/>
          <w:szCs w:val="32"/>
        </w:rPr>
        <w:t>乙  方：</w:t>
      </w:r>
      <w:bookmarkEnd w:id="0"/>
      <w:r>
        <w:rPr>
          <w:rFonts w:hint="eastAsia" w:ascii="宋体" w:hAnsi="宋体"/>
          <w:b/>
          <w:sz w:val="32"/>
          <w:szCs w:val="32"/>
          <w:u w:val="single"/>
          <w:lang w:val="en-US" w:eastAsia="zh-CN"/>
        </w:rPr>
        <w:t xml:space="preserve">                           </w:t>
      </w:r>
      <w:r>
        <w:rPr>
          <w:rFonts w:hint="eastAsia" w:ascii="宋体" w:hAnsi="宋体"/>
          <w:b/>
          <w:sz w:val="32"/>
          <w:szCs w:val="32"/>
          <w:lang w:val="en-US" w:eastAsia="zh-CN"/>
        </w:rPr>
        <w:t xml:space="preserve">  </w:t>
      </w:r>
    </w:p>
    <w:p w14:paraId="3761A1FE">
      <w:pPr>
        <w:ind w:firstLine="1446" w:firstLineChars="450"/>
        <w:jc w:val="left"/>
        <w:rPr>
          <w:rFonts w:hint="eastAsia" w:ascii="宋体" w:hAnsi="宋体"/>
          <w:b/>
          <w:sz w:val="32"/>
          <w:szCs w:val="32"/>
        </w:rPr>
      </w:pPr>
    </w:p>
    <w:p w14:paraId="6247F0BB">
      <w:pPr>
        <w:ind w:firstLine="2088" w:firstLineChars="650"/>
        <w:jc w:val="left"/>
        <w:rPr>
          <w:rFonts w:hint="eastAsia" w:ascii="宋体" w:hAnsi="宋体"/>
          <w:b/>
          <w:sz w:val="32"/>
          <w:szCs w:val="32"/>
        </w:rPr>
      </w:pPr>
      <w:r>
        <w:rPr>
          <w:rFonts w:hint="eastAsia" w:ascii="宋体" w:hAnsi="宋体"/>
          <w:b/>
          <w:sz w:val="32"/>
          <w:szCs w:val="32"/>
        </w:rPr>
        <w:t>签约时间：</w:t>
      </w:r>
      <w:r>
        <w:rPr>
          <w:rFonts w:hint="eastAsia" w:ascii="宋体" w:hAnsi="宋体"/>
          <w:b/>
          <w:sz w:val="32"/>
          <w:szCs w:val="32"/>
          <w:u w:val="single"/>
        </w:rPr>
        <w:t>2025</w:t>
      </w:r>
      <w:r>
        <w:rPr>
          <w:rFonts w:hint="eastAsia" w:ascii="宋体" w:hAnsi="宋体"/>
          <w:b/>
          <w:sz w:val="32"/>
          <w:szCs w:val="32"/>
        </w:rPr>
        <w:t>年</w:t>
      </w:r>
      <w:r>
        <w:rPr>
          <w:rFonts w:hint="eastAsia" w:ascii="宋体" w:hAnsi="宋体"/>
          <w:b/>
          <w:color w:val="FF0000"/>
          <w:sz w:val="32"/>
          <w:szCs w:val="32"/>
          <w:u w:val="single"/>
        </w:rPr>
        <w:t xml:space="preserve">   </w:t>
      </w:r>
      <w:r>
        <w:rPr>
          <w:rFonts w:hint="eastAsia" w:ascii="宋体" w:hAnsi="宋体"/>
          <w:b/>
          <w:color w:val="FF0000"/>
          <w:sz w:val="32"/>
          <w:szCs w:val="32"/>
        </w:rPr>
        <w:t xml:space="preserve"> </w:t>
      </w:r>
      <w:r>
        <w:rPr>
          <w:rFonts w:hint="eastAsia" w:ascii="宋体" w:hAnsi="宋体"/>
          <w:b/>
          <w:sz w:val="32"/>
          <w:szCs w:val="32"/>
        </w:rPr>
        <w:t>月</w:t>
      </w:r>
      <w:r>
        <w:rPr>
          <w:rFonts w:hint="eastAsia" w:ascii="宋体" w:hAnsi="宋体"/>
          <w:b/>
          <w:color w:val="FF0000"/>
          <w:sz w:val="32"/>
          <w:szCs w:val="32"/>
          <w:u w:val="single"/>
        </w:rPr>
        <w:t xml:space="preserve">   </w:t>
      </w:r>
      <w:r>
        <w:rPr>
          <w:rFonts w:hint="eastAsia" w:ascii="宋体" w:hAnsi="宋体"/>
          <w:b/>
          <w:sz w:val="32"/>
          <w:szCs w:val="32"/>
        </w:rPr>
        <w:t>日</w:t>
      </w:r>
    </w:p>
    <w:p w14:paraId="15A2787C">
      <w:pPr>
        <w:ind w:firstLine="2088" w:firstLineChars="650"/>
        <w:jc w:val="left"/>
        <w:rPr>
          <w:rFonts w:ascii="宋体" w:hAnsi="宋体"/>
          <w:b/>
          <w:sz w:val="32"/>
          <w:szCs w:val="32"/>
          <w:u w:val="single"/>
        </w:rPr>
        <w:sectPr>
          <w:headerReference r:id="rId3" w:type="default"/>
          <w:footerReference r:id="rId4" w:type="default"/>
          <w:footerReference r:id="rId5" w:type="even"/>
          <w:pgSz w:w="11906" w:h="16838"/>
          <w:pgMar w:top="1701" w:right="1133" w:bottom="1701" w:left="1134" w:header="851" w:footer="992" w:gutter="0"/>
          <w:pgNumType w:start="1"/>
          <w:cols w:space="720" w:num="1"/>
          <w:docGrid w:type="lines" w:linePitch="312" w:charSpace="0"/>
        </w:sectPr>
      </w:pPr>
      <w:r>
        <w:rPr>
          <w:rFonts w:hint="eastAsia" w:ascii="宋体" w:hAnsi="宋体"/>
          <w:b/>
          <w:sz w:val="32"/>
          <w:szCs w:val="32"/>
        </w:rPr>
        <w:t>协议签订地：</w:t>
      </w:r>
      <w:r>
        <w:rPr>
          <w:rFonts w:hint="eastAsia" w:ascii="宋体" w:hAnsi="宋体"/>
          <w:b/>
          <w:sz w:val="32"/>
          <w:szCs w:val="32"/>
          <w:u w:val="single"/>
        </w:rPr>
        <w:t xml:space="preserve">  </w:t>
      </w:r>
      <w:r>
        <w:rPr>
          <w:rFonts w:hint="eastAsia" w:ascii="宋体" w:hAnsi="宋体"/>
          <w:b/>
          <w:sz w:val="32"/>
          <w:szCs w:val="32"/>
          <w:u w:val="single"/>
          <w:lang w:val="en-US" w:eastAsia="zh-CN"/>
        </w:rPr>
        <w:t>广西玉林市</w:t>
      </w:r>
      <w:r>
        <w:rPr>
          <w:rFonts w:hint="eastAsia" w:ascii="宋体" w:hAnsi="宋体"/>
          <w:b/>
          <w:sz w:val="32"/>
          <w:szCs w:val="32"/>
          <w:u w:val="single"/>
        </w:rPr>
        <w:t xml:space="preserve">  </w:t>
      </w:r>
    </w:p>
    <w:p w14:paraId="51012A58">
      <w:pPr>
        <w:spacing w:before="312" w:beforeLines="100" w:after="156" w:afterLines="50" w:line="420" w:lineRule="auto"/>
        <w:rPr>
          <w:rFonts w:hint="eastAsia"/>
          <w:sz w:val="28"/>
          <w:szCs w:val="28"/>
        </w:rPr>
      </w:pPr>
      <w:r>
        <w:rPr>
          <w:rFonts w:hint="eastAsia"/>
          <w:sz w:val="28"/>
          <w:szCs w:val="28"/>
        </w:rPr>
        <w:t>托运方（甲方）：</w:t>
      </w:r>
      <w:r>
        <w:rPr>
          <w:rFonts w:hint="eastAsia"/>
          <w:sz w:val="28"/>
          <w:szCs w:val="28"/>
          <w:lang w:eastAsia="zh-CN"/>
        </w:rPr>
        <w:t>广西华原过滤系统股份有限公司</w:t>
      </w:r>
      <w:r>
        <w:rPr>
          <w:rFonts w:hint="eastAsia"/>
          <w:sz w:val="28"/>
          <w:szCs w:val="28"/>
        </w:rPr>
        <w:t xml:space="preserve">         </w:t>
      </w:r>
    </w:p>
    <w:p w14:paraId="3224919E">
      <w:pPr>
        <w:spacing w:before="312" w:beforeLines="100" w:after="156" w:afterLines="50" w:line="420" w:lineRule="auto"/>
        <w:rPr>
          <w:rFonts w:hint="eastAsia"/>
          <w:sz w:val="28"/>
          <w:szCs w:val="28"/>
        </w:rPr>
      </w:pPr>
      <w:r>
        <w:rPr>
          <w:rFonts w:hint="eastAsia"/>
          <w:sz w:val="28"/>
          <w:szCs w:val="28"/>
        </w:rPr>
        <w:t>承运方（乙方）：</w:t>
      </w:r>
    </w:p>
    <w:p w14:paraId="75A71A1A">
      <w:pPr>
        <w:spacing w:before="312" w:beforeLines="100" w:after="156" w:afterLines="50" w:line="420" w:lineRule="auto"/>
        <w:ind w:firstLine="480" w:firstLineChars="200"/>
        <w:rPr>
          <w:rFonts w:hint="eastAsia"/>
          <w:sz w:val="24"/>
        </w:rPr>
      </w:pPr>
      <w:r>
        <w:rPr>
          <w:rFonts w:hint="eastAsia"/>
          <w:sz w:val="24"/>
        </w:rPr>
        <w:t>双方本着互惠互利、相互合作的原则。根据相关法律规定，经过托运方（以下简称甲方），承运方（以下简称乙方）双方充分协商，特订立本合同，以期双方共同遵守。</w:t>
      </w:r>
    </w:p>
    <w:p w14:paraId="7250AABE">
      <w:pPr>
        <w:numPr>
          <w:ilvl w:val="0"/>
          <w:numId w:val="1"/>
        </w:numPr>
        <w:spacing w:before="312" w:beforeLines="100" w:after="156" w:afterLines="50" w:line="420" w:lineRule="auto"/>
        <w:rPr>
          <w:rFonts w:hint="eastAsia"/>
          <w:b/>
          <w:sz w:val="24"/>
        </w:rPr>
      </w:pPr>
      <w:bookmarkStart w:id="1" w:name="OLE_LINK6"/>
      <w:r>
        <w:rPr>
          <w:rFonts w:hint="eastAsia"/>
          <w:b/>
          <w:sz w:val="24"/>
        </w:rPr>
        <w:t>货物名称：滤清器及其他货物。</w:t>
      </w:r>
    </w:p>
    <w:bookmarkEnd w:id="1"/>
    <w:p w14:paraId="7A02B71D">
      <w:pPr>
        <w:numPr>
          <w:ilvl w:val="0"/>
          <w:numId w:val="1"/>
        </w:numPr>
        <w:spacing w:before="312" w:beforeLines="100" w:after="156" w:afterLines="50" w:line="420" w:lineRule="auto"/>
        <w:rPr>
          <w:rFonts w:hint="eastAsia"/>
          <w:b/>
          <w:sz w:val="24"/>
        </w:rPr>
      </w:pPr>
      <w:r>
        <w:rPr>
          <w:rFonts w:hint="eastAsia"/>
          <w:b/>
          <w:sz w:val="24"/>
        </w:rPr>
        <w:t>运价及承运周期：详见附件</w:t>
      </w:r>
    </w:p>
    <w:tbl>
      <w:tblPr>
        <w:tblStyle w:val="9"/>
        <w:tblW w:w="9498" w:type="dxa"/>
        <w:tblInd w:w="108" w:type="dxa"/>
        <w:tblLayout w:type="autofit"/>
        <w:tblCellMar>
          <w:top w:w="0" w:type="dxa"/>
          <w:left w:w="108" w:type="dxa"/>
          <w:bottom w:w="0" w:type="dxa"/>
          <w:right w:w="108" w:type="dxa"/>
        </w:tblCellMar>
      </w:tblPr>
      <w:tblGrid>
        <w:gridCol w:w="613"/>
        <w:gridCol w:w="951"/>
        <w:gridCol w:w="1838"/>
        <w:gridCol w:w="1560"/>
        <w:gridCol w:w="1559"/>
        <w:gridCol w:w="1701"/>
        <w:gridCol w:w="1276"/>
      </w:tblGrid>
      <w:tr w14:paraId="4CBC2E3C">
        <w:tblPrEx>
          <w:tblCellMar>
            <w:top w:w="0" w:type="dxa"/>
            <w:left w:w="108" w:type="dxa"/>
            <w:bottom w:w="0" w:type="dxa"/>
            <w:right w:w="108" w:type="dxa"/>
          </w:tblCellMar>
        </w:tblPrEx>
        <w:trPr>
          <w:trHeight w:val="1046" w:hRule="atLeast"/>
        </w:trPr>
        <w:tc>
          <w:tcPr>
            <w:tcW w:w="61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77ED56">
            <w:pPr>
              <w:widowControl/>
              <w:jc w:val="center"/>
              <w:rPr>
                <w:rFonts w:ascii="宋体" w:hAnsi="宋体" w:cs="宋体"/>
                <w:kern w:val="0"/>
                <w:sz w:val="22"/>
                <w:szCs w:val="22"/>
              </w:rPr>
            </w:pPr>
            <w:bookmarkStart w:id="2" w:name="OLE_LINK1" w:colFirst="0" w:colLast="64"/>
            <w:bookmarkStart w:id="3" w:name="_Hlk190242952"/>
            <w:bookmarkStart w:id="4" w:name="OLE_LINK2" w:colFirst="0" w:colLast="64"/>
            <w:r>
              <w:rPr>
                <w:rFonts w:hint="eastAsia" w:ascii="宋体" w:hAnsi="宋体" w:cs="宋体"/>
                <w:kern w:val="0"/>
                <w:sz w:val="22"/>
                <w:szCs w:val="22"/>
              </w:rPr>
              <w:t>序号</w:t>
            </w:r>
          </w:p>
        </w:tc>
        <w:tc>
          <w:tcPr>
            <w:tcW w:w="9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67658B">
            <w:pPr>
              <w:widowControl/>
              <w:jc w:val="center"/>
              <w:rPr>
                <w:rFonts w:ascii="宋体" w:hAnsi="宋体" w:cs="宋体"/>
                <w:kern w:val="0"/>
                <w:sz w:val="22"/>
                <w:szCs w:val="22"/>
              </w:rPr>
            </w:pPr>
            <w:r>
              <w:rPr>
                <w:rFonts w:hint="eastAsia" w:ascii="宋体" w:hAnsi="宋体" w:cs="宋体"/>
                <w:kern w:val="0"/>
                <w:sz w:val="22"/>
                <w:szCs w:val="22"/>
              </w:rPr>
              <w:t>省份</w:t>
            </w:r>
          </w:p>
        </w:tc>
        <w:tc>
          <w:tcPr>
            <w:tcW w:w="183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24714C">
            <w:pPr>
              <w:widowControl/>
              <w:jc w:val="center"/>
              <w:rPr>
                <w:rFonts w:ascii="宋体" w:hAnsi="宋体" w:cs="宋体"/>
                <w:kern w:val="0"/>
                <w:sz w:val="22"/>
                <w:szCs w:val="22"/>
              </w:rPr>
            </w:pPr>
            <w:r>
              <w:rPr>
                <w:rFonts w:hint="eastAsia" w:ascii="宋体" w:hAnsi="宋体" w:cs="宋体"/>
                <w:kern w:val="0"/>
                <w:sz w:val="22"/>
                <w:szCs w:val="22"/>
              </w:rPr>
              <w:t>城市</w:t>
            </w:r>
          </w:p>
        </w:tc>
        <w:tc>
          <w:tcPr>
            <w:tcW w:w="1560" w:type="dxa"/>
            <w:tcBorders>
              <w:top w:val="single" w:color="auto" w:sz="4" w:space="0"/>
              <w:left w:val="nil"/>
              <w:right w:val="single" w:color="auto" w:sz="4" w:space="0"/>
            </w:tcBorders>
            <w:shd w:val="clear" w:color="000000" w:fill="FFFFFF"/>
            <w:noWrap w:val="0"/>
            <w:vAlign w:val="top"/>
          </w:tcPr>
          <w:p w14:paraId="6D3D7DDB">
            <w:pPr>
              <w:widowControl/>
              <w:jc w:val="center"/>
              <w:rPr>
                <w:rFonts w:ascii="宋体" w:hAnsi="宋体" w:cs="宋体"/>
                <w:kern w:val="0"/>
                <w:sz w:val="22"/>
                <w:szCs w:val="22"/>
              </w:rPr>
            </w:pPr>
            <w:r>
              <w:rPr>
                <w:rFonts w:hint="eastAsia" w:ascii="宋体" w:hAnsi="宋体" w:cs="宋体"/>
                <w:kern w:val="0"/>
                <w:sz w:val="22"/>
                <w:szCs w:val="22"/>
              </w:rPr>
              <w:t>整车价格</w:t>
            </w:r>
          </w:p>
          <w:p w14:paraId="0098A8AD">
            <w:pPr>
              <w:widowControl/>
              <w:jc w:val="center"/>
              <w:rPr>
                <w:rFonts w:ascii="宋体" w:hAnsi="宋体" w:cs="宋体"/>
                <w:kern w:val="0"/>
                <w:sz w:val="22"/>
                <w:szCs w:val="22"/>
              </w:rPr>
            </w:pPr>
            <w:r>
              <w:rPr>
                <w:rFonts w:hint="eastAsia" w:ascii="宋体" w:hAnsi="宋体" w:cs="宋体"/>
                <w:kern w:val="0"/>
                <w:sz w:val="22"/>
                <w:szCs w:val="22"/>
              </w:rPr>
              <w:t>（不含税）</w:t>
            </w:r>
          </w:p>
          <w:p w14:paraId="6C2171DB">
            <w:pPr>
              <w:widowControl/>
              <w:jc w:val="center"/>
              <w:rPr>
                <w:rFonts w:hint="eastAsia" w:ascii="宋体" w:hAnsi="宋体" w:cs="宋体"/>
                <w:kern w:val="0"/>
                <w:sz w:val="22"/>
                <w:szCs w:val="22"/>
              </w:rPr>
            </w:pPr>
            <w:r>
              <w:rPr>
                <w:rFonts w:hint="eastAsia" w:ascii="宋体" w:hAnsi="宋体" w:cs="宋体"/>
                <w:kern w:val="0"/>
                <w:sz w:val="22"/>
                <w:szCs w:val="22"/>
              </w:rPr>
              <w:t>元/车</w:t>
            </w:r>
          </w:p>
        </w:tc>
        <w:tc>
          <w:tcPr>
            <w:tcW w:w="1559" w:type="dxa"/>
            <w:tcBorders>
              <w:top w:val="single" w:color="auto" w:sz="4" w:space="0"/>
              <w:left w:val="single" w:color="auto" w:sz="4" w:space="0"/>
              <w:bottom w:val="nil"/>
              <w:right w:val="nil"/>
            </w:tcBorders>
            <w:shd w:val="clear" w:color="000000" w:fill="FFFFFF"/>
            <w:noWrap/>
            <w:vAlign w:val="center"/>
          </w:tcPr>
          <w:p w14:paraId="07360D7D">
            <w:pPr>
              <w:widowControl/>
              <w:jc w:val="center"/>
              <w:rPr>
                <w:rFonts w:ascii="宋体" w:hAnsi="宋体" w:cs="宋体"/>
                <w:kern w:val="0"/>
                <w:sz w:val="22"/>
                <w:szCs w:val="22"/>
              </w:rPr>
            </w:pPr>
            <w:r>
              <w:rPr>
                <w:rFonts w:hint="eastAsia" w:ascii="宋体" w:hAnsi="宋体" w:cs="宋体"/>
                <w:kern w:val="0"/>
                <w:sz w:val="22"/>
                <w:szCs w:val="22"/>
              </w:rPr>
              <w:t>整车价格</w:t>
            </w:r>
          </w:p>
          <w:p w14:paraId="22DFC2B7">
            <w:pPr>
              <w:widowControl/>
              <w:jc w:val="center"/>
              <w:rPr>
                <w:rFonts w:ascii="宋体" w:hAnsi="宋体" w:cs="宋体"/>
                <w:kern w:val="0"/>
                <w:sz w:val="22"/>
                <w:szCs w:val="22"/>
              </w:rPr>
            </w:pPr>
            <w:r>
              <w:rPr>
                <w:rFonts w:hint="eastAsia" w:ascii="宋体" w:hAnsi="宋体" w:cs="宋体"/>
                <w:kern w:val="0"/>
                <w:sz w:val="22"/>
                <w:szCs w:val="22"/>
              </w:rPr>
              <w:t>（含税）</w:t>
            </w:r>
          </w:p>
          <w:p w14:paraId="672BD2EA">
            <w:pPr>
              <w:widowControl/>
              <w:jc w:val="center"/>
              <w:rPr>
                <w:rFonts w:hint="eastAsia" w:ascii="宋体" w:hAnsi="宋体" w:cs="宋体"/>
                <w:kern w:val="0"/>
                <w:sz w:val="22"/>
                <w:szCs w:val="22"/>
              </w:rPr>
            </w:pPr>
            <w:r>
              <w:rPr>
                <w:rFonts w:hint="eastAsia" w:ascii="宋体" w:hAnsi="宋体" w:cs="宋体"/>
                <w:kern w:val="0"/>
                <w:sz w:val="22"/>
                <w:szCs w:val="22"/>
              </w:rPr>
              <w:t>元/车</w:t>
            </w:r>
          </w:p>
        </w:tc>
        <w:tc>
          <w:tcPr>
            <w:tcW w:w="1701"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69FA6A30">
            <w:pPr>
              <w:widowControl/>
              <w:jc w:val="center"/>
              <w:rPr>
                <w:rFonts w:ascii="宋体" w:hAnsi="宋体" w:cs="宋体"/>
                <w:kern w:val="0"/>
                <w:sz w:val="22"/>
                <w:szCs w:val="22"/>
              </w:rPr>
            </w:pPr>
            <w:r>
              <w:rPr>
                <w:rFonts w:hint="eastAsia" w:ascii="宋体" w:hAnsi="宋体" w:cs="宋体"/>
                <w:kern w:val="0"/>
                <w:sz w:val="22"/>
                <w:szCs w:val="22"/>
              </w:rPr>
              <w:t>承运周期</w:t>
            </w:r>
          </w:p>
          <w:p w14:paraId="4998F8B4">
            <w:pPr>
              <w:widowControl/>
              <w:jc w:val="center"/>
              <w:rPr>
                <w:rFonts w:ascii="宋体" w:hAnsi="宋体" w:cs="宋体"/>
                <w:kern w:val="0"/>
                <w:sz w:val="22"/>
                <w:szCs w:val="22"/>
              </w:rPr>
            </w:pPr>
            <w:r>
              <w:rPr>
                <w:rFonts w:hint="eastAsia" w:ascii="宋体" w:hAnsi="宋体" w:cs="宋体"/>
                <w:kern w:val="0"/>
                <w:sz w:val="22"/>
                <w:szCs w:val="22"/>
              </w:rPr>
              <w:t>（直达车）/天</w:t>
            </w:r>
          </w:p>
        </w:tc>
        <w:tc>
          <w:tcPr>
            <w:tcW w:w="1276" w:type="dxa"/>
            <w:tcBorders>
              <w:top w:val="single" w:color="auto" w:sz="4" w:space="0"/>
              <w:left w:val="nil"/>
              <w:bottom w:val="single" w:color="000000" w:sz="4" w:space="0"/>
              <w:right w:val="single" w:color="auto" w:sz="4" w:space="0"/>
            </w:tcBorders>
            <w:shd w:val="clear" w:color="000000" w:fill="FFFFFF"/>
            <w:noWrap w:val="0"/>
            <w:vAlign w:val="center"/>
          </w:tcPr>
          <w:p w14:paraId="7C58C5D7">
            <w:pPr>
              <w:widowControl/>
              <w:jc w:val="center"/>
              <w:rPr>
                <w:rFonts w:ascii="宋体" w:hAnsi="宋体" w:cs="宋体"/>
                <w:kern w:val="0"/>
                <w:sz w:val="22"/>
                <w:szCs w:val="22"/>
              </w:rPr>
            </w:pPr>
            <w:r>
              <w:rPr>
                <w:rFonts w:hint="eastAsia" w:ascii="宋体" w:hAnsi="宋体" w:cs="宋体"/>
                <w:kern w:val="0"/>
                <w:sz w:val="22"/>
                <w:szCs w:val="22"/>
              </w:rPr>
              <w:t>备注</w:t>
            </w:r>
          </w:p>
        </w:tc>
      </w:tr>
      <w:tr w14:paraId="0D9529CF">
        <w:tblPrEx>
          <w:tblCellMar>
            <w:top w:w="0" w:type="dxa"/>
            <w:left w:w="108" w:type="dxa"/>
            <w:bottom w:w="0" w:type="dxa"/>
            <w:right w:w="108" w:type="dxa"/>
          </w:tblCellMar>
        </w:tblPrEx>
        <w:trPr>
          <w:trHeight w:val="365" w:hRule="atLeast"/>
        </w:trPr>
        <w:tc>
          <w:tcPr>
            <w:tcW w:w="61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51E725">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70F77D">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183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48E137">
            <w:pPr>
              <w:jc w:val="center"/>
              <w:rPr>
                <w:rFonts w:hint="eastAsia" w:ascii="等线" w:hAnsi="等线" w:eastAsia="等线"/>
                <w:color w:val="000000"/>
                <w:sz w:val="22"/>
                <w:szCs w:val="22"/>
              </w:rPr>
            </w:pPr>
            <w:r>
              <w:rPr>
                <w:rFonts w:hint="eastAsia" w:ascii="等线" w:hAnsi="等线" w:eastAsia="等线"/>
                <w:color w:val="000000"/>
                <w:sz w:val="22"/>
                <w:szCs w:val="22"/>
              </w:rPr>
              <w:t>/</w:t>
            </w:r>
          </w:p>
        </w:tc>
        <w:tc>
          <w:tcPr>
            <w:tcW w:w="1560" w:type="dxa"/>
            <w:tcBorders>
              <w:top w:val="single" w:color="auto" w:sz="4" w:space="0"/>
              <w:left w:val="nil"/>
              <w:bottom w:val="single" w:color="auto" w:sz="4" w:space="0"/>
              <w:right w:val="single" w:color="auto" w:sz="4" w:space="0"/>
            </w:tcBorders>
            <w:shd w:val="clear" w:color="000000" w:fill="FFFFFF"/>
            <w:noWrap w:val="0"/>
            <w:vAlign w:val="top"/>
          </w:tcPr>
          <w:p w14:paraId="242C163E">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A06206">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1701" w:type="dxa"/>
            <w:tcBorders>
              <w:top w:val="single" w:color="auto" w:sz="4" w:space="0"/>
              <w:left w:val="nil"/>
              <w:bottom w:val="single" w:color="auto" w:sz="4" w:space="0"/>
              <w:right w:val="single" w:color="auto" w:sz="4" w:space="0"/>
            </w:tcBorders>
            <w:shd w:val="clear" w:color="000000" w:fill="FFFFFF"/>
            <w:noWrap/>
            <w:vAlign w:val="bottom"/>
          </w:tcPr>
          <w:p w14:paraId="0DBB15DC">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66025F67">
            <w:pPr>
              <w:widowControl/>
              <w:jc w:val="center"/>
              <w:rPr>
                <w:rFonts w:hint="eastAsia" w:ascii="宋体" w:hAnsi="宋体" w:cs="宋体"/>
                <w:kern w:val="0"/>
                <w:sz w:val="22"/>
                <w:szCs w:val="22"/>
              </w:rPr>
            </w:pPr>
            <w:r>
              <w:rPr>
                <w:rFonts w:hint="eastAsia" w:ascii="宋体" w:hAnsi="宋体" w:cs="宋体"/>
                <w:kern w:val="0"/>
                <w:sz w:val="22"/>
                <w:szCs w:val="22"/>
              </w:rPr>
              <w:t>/</w:t>
            </w:r>
          </w:p>
        </w:tc>
      </w:tr>
      <w:tr w14:paraId="1C13E4BF">
        <w:tblPrEx>
          <w:tblCellMar>
            <w:top w:w="0" w:type="dxa"/>
            <w:left w:w="108" w:type="dxa"/>
            <w:bottom w:w="0" w:type="dxa"/>
            <w:right w:w="108" w:type="dxa"/>
          </w:tblCellMar>
        </w:tblPrEx>
        <w:trPr>
          <w:trHeight w:val="701" w:hRule="atLeast"/>
        </w:trPr>
        <w:tc>
          <w:tcPr>
            <w:tcW w:w="9498" w:type="dxa"/>
            <w:gridSpan w:val="7"/>
            <w:tcBorders>
              <w:top w:val="single" w:color="auto" w:sz="4" w:space="0"/>
              <w:left w:val="single" w:color="auto" w:sz="4" w:space="0"/>
              <w:bottom w:val="single" w:color="auto" w:sz="4" w:space="0"/>
              <w:right w:val="single" w:color="auto" w:sz="4" w:space="0"/>
            </w:tcBorders>
            <w:shd w:val="clear" w:color="000000" w:fill="FFFFFF"/>
            <w:noWrap w:val="0"/>
            <w:vAlign w:val="top"/>
          </w:tcPr>
          <w:p w14:paraId="078CD1C6">
            <w:pPr>
              <w:spacing w:line="420" w:lineRule="auto"/>
              <w:rPr>
                <w:rFonts w:ascii="宋体" w:hAnsi="宋体" w:cs="宋体"/>
                <w:kern w:val="0"/>
                <w:sz w:val="22"/>
                <w:szCs w:val="22"/>
              </w:rPr>
            </w:pPr>
            <w:r>
              <w:rPr>
                <w:rFonts w:hint="eastAsia"/>
                <w:sz w:val="24"/>
              </w:rPr>
              <w:t>注意：1、产品装车时必须按照纸箱标识垂直向上摆放避免磨损标签、损坏产品；2、保持纸箱干净无损，未经允许不允许粘贴任何标签标记。3、按本表运价执行，如遇国家调整，按调整后的税率执行。</w:t>
            </w:r>
          </w:p>
        </w:tc>
      </w:tr>
      <w:bookmarkEnd w:id="2"/>
      <w:bookmarkEnd w:id="3"/>
      <w:bookmarkEnd w:id="4"/>
    </w:tbl>
    <w:p w14:paraId="3D6F2BA0">
      <w:pPr>
        <w:spacing w:line="420" w:lineRule="auto"/>
        <w:rPr>
          <w:rFonts w:hint="eastAsia"/>
          <w:b/>
          <w:sz w:val="24"/>
        </w:rPr>
      </w:pPr>
      <w:r>
        <w:rPr>
          <w:rFonts w:hint="eastAsia"/>
          <w:b/>
          <w:sz w:val="24"/>
        </w:rPr>
        <w:t>三、货物到达地点、承运日期及承运时间根据甲方通知执行。</w:t>
      </w:r>
    </w:p>
    <w:p w14:paraId="1AE9C1C7">
      <w:pPr>
        <w:spacing w:line="420" w:lineRule="auto"/>
        <w:rPr>
          <w:rFonts w:hint="eastAsia"/>
          <w:b/>
          <w:sz w:val="24"/>
        </w:rPr>
      </w:pPr>
      <w:r>
        <w:rPr>
          <w:rFonts w:hint="eastAsia"/>
          <w:b/>
          <w:sz w:val="24"/>
        </w:rPr>
        <w:t>四、装货地点</w:t>
      </w:r>
      <w:r>
        <w:rPr>
          <w:b/>
          <w:sz w:val="24"/>
        </w:rPr>
        <w:t>:</w:t>
      </w:r>
      <w:r>
        <w:rPr>
          <w:rFonts w:hint="eastAsia"/>
          <w:b/>
          <w:sz w:val="24"/>
          <w:lang w:val="en-US" w:eastAsia="zh-CN"/>
        </w:rPr>
        <w:t>玉林</w:t>
      </w:r>
      <w:r>
        <w:rPr>
          <w:rFonts w:hint="eastAsia"/>
          <w:b/>
          <w:sz w:val="24"/>
        </w:rPr>
        <w:t>市，卸货地点： 甲方指定地点。</w:t>
      </w:r>
    </w:p>
    <w:p w14:paraId="3C10AEAC">
      <w:pPr>
        <w:spacing w:line="420" w:lineRule="auto"/>
        <w:rPr>
          <w:rFonts w:hint="eastAsia"/>
          <w:b/>
          <w:sz w:val="24"/>
        </w:rPr>
      </w:pPr>
      <w:r>
        <w:rPr>
          <w:rFonts w:hint="eastAsia"/>
          <w:b/>
          <w:sz w:val="24"/>
        </w:rPr>
        <w:t>五、运输质量及安全要求：</w:t>
      </w:r>
    </w:p>
    <w:p w14:paraId="5456DB0D">
      <w:pPr>
        <w:spacing w:line="420" w:lineRule="auto"/>
        <w:rPr>
          <w:rFonts w:hint="eastAsia"/>
          <w:sz w:val="24"/>
        </w:rPr>
      </w:pPr>
      <w:r>
        <w:rPr>
          <w:rFonts w:hint="eastAsia"/>
          <w:sz w:val="24"/>
        </w:rPr>
        <w:t>（一）甲方需按国家及行业有关规定对托运货物进行合适的包装。</w:t>
      </w:r>
    </w:p>
    <w:p w14:paraId="4F49D0AE">
      <w:pPr>
        <w:spacing w:line="420" w:lineRule="auto"/>
        <w:ind w:left="720" w:hanging="720" w:hangingChars="300"/>
        <w:rPr>
          <w:sz w:val="24"/>
        </w:rPr>
      </w:pPr>
      <w:r>
        <w:rPr>
          <w:rFonts w:hint="eastAsia"/>
          <w:sz w:val="24"/>
        </w:rPr>
        <w:t>（二）甲方必须准确提供收货人的基本信</w:t>
      </w:r>
      <w:bookmarkStart w:id="5" w:name="_GoBack"/>
      <w:bookmarkEnd w:id="5"/>
      <w:r>
        <w:rPr>
          <w:rFonts w:hint="eastAsia"/>
          <w:sz w:val="24"/>
        </w:rPr>
        <w:t>息；货到甲方指定收货地点后，如因甲方提供的收货人资料有误无法配送的，乙方应负责免费保管直至货物送达；如货物在途时，甲方书面提出更改收货人资料（包括但不限于地址、电话），或将货物返回等运输情况变更的，乙方须及时处理，因此产生的额外费用由甲方承担；</w:t>
      </w:r>
    </w:p>
    <w:p w14:paraId="6F8398AC">
      <w:pPr>
        <w:spacing w:line="420" w:lineRule="auto"/>
        <w:ind w:left="720" w:right="105" w:rightChars="50" w:hanging="720" w:hangingChars="300"/>
        <w:rPr>
          <w:rFonts w:hint="eastAsia"/>
          <w:sz w:val="24"/>
        </w:rPr>
      </w:pPr>
      <w:r>
        <w:rPr>
          <w:rFonts w:hint="eastAsia"/>
          <w:sz w:val="24"/>
        </w:rPr>
        <w:t>（三）乙方承运后出现货物丢失、坏损、雨淋等造成的所有损失及相关费用均由乙方承担，货物按甲方的出厂价格100％赔偿；如因乙方责任在运输过程中发生混货、错货的，由此产生的价差及调货费用均由乙方承担（价差为正数的，差额部分不考核不返还）；此外，乙方仍须承担200元/次的混货考核款；考核金额由甲方从乙方的运费中直接扣减。</w:t>
      </w:r>
      <w:r>
        <w:rPr>
          <w:rFonts w:hint="eastAsia" w:ascii="新宋体" w:eastAsia="新宋体" w:cs="新宋体"/>
          <w:kern w:val="0"/>
          <w:sz w:val="24"/>
          <w:lang w:val="zh-CN"/>
        </w:rPr>
        <w:t>混货、外包装损坏等产品如需退回甲方的，自接到甲方索赔证明后，乙方需在索赔证明中注明，并经过甲方同意后于该</w:t>
      </w:r>
      <w:r>
        <w:rPr>
          <w:rFonts w:ascii="新宋体" w:eastAsia="新宋体" w:cs="新宋体"/>
          <w:kern w:val="0"/>
          <w:sz w:val="24"/>
          <w:lang w:val="zh-CN"/>
        </w:rPr>
        <w:t>路线承运周期</w:t>
      </w:r>
      <w:r>
        <w:rPr>
          <w:rFonts w:hint="eastAsia" w:ascii="新宋体" w:eastAsia="新宋体" w:cs="新宋体"/>
          <w:kern w:val="0"/>
          <w:sz w:val="24"/>
          <w:lang w:val="zh-CN"/>
        </w:rPr>
        <w:t>+</w:t>
      </w:r>
      <w:r>
        <w:rPr>
          <w:rFonts w:ascii="新宋体" w:eastAsia="新宋体" w:cs="新宋体"/>
          <w:kern w:val="0"/>
          <w:sz w:val="24"/>
          <w:lang w:val="zh-CN"/>
        </w:rPr>
        <w:t>3</w:t>
      </w:r>
      <w:r>
        <w:rPr>
          <w:rFonts w:hint="eastAsia" w:ascii="新宋体" w:eastAsia="新宋体" w:cs="新宋体"/>
          <w:kern w:val="0"/>
          <w:sz w:val="24"/>
          <w:lang w:val="zh-CN"/>
        </w:rPr>
        <w:t>日内退回甲方。超期未退的，甲方有权拒收，并按货物丢失处理。为规范管理，乙方每月办理退货的索赔单不得超三单，否则，从第四单起按索赔金额翻倍考核</w:t>
      </w:r>
      <w:r>
        <w:rPr>
          <w:rFonts w:hint="eastAsia"/>
          <w:sz w:val="24"/>
        </w:rPr>
        <w:t>；</w:t>
      </w:r>
    </w:p>
    <w:p w14:paraId="1EBD3387">
      <w:pPr>
        <w:tabs>
          <w:tab w:val="left" w:pos="1288"/>
        </w:tabs>
        <w:spacing w:line="420" w:lineRule="auto"/>
        <w:ind w:left="720" w:right="105" w:rightChars="50" w:hanging="720" w:hangingChars="300"/>
        <w:rPr>
          <w:rFonts w:hint="eastAsia"/>
          <w:sz w:val="24"/>
        </w:rPr>
      </w:pPr>
      <w:r>
        <w:rPr>
          <w:rFonts w:hint="eastAsia"/>
          <w:sz w:val="24"/>
        </w:rPr>
        <w:t>（四）乙方要根据所承运货物的特性，委派经甲方认可的、合适的承运车辆进行装卸（车厢污染，潮湿，车体残缺或有其他不洁物体的甲方有权拒装）；乙方派车时须出具正规的派车单给甲方仓库，以确认承运司机身份。派车单上应提供司机姓名、车号、乙方公章、派车日期及承运线路，甲方仓库人员将根据乙方提供的派车单装车（如乙方接货时没有出具派车单，甲方仓库有权拒装）；</w:t>
      </w:r>
    </w:p>
    <w:p w14:paraId="09F824AF">
      <w:pPr>
        <w:tabs>
          <w:tab w:val="left" w:pos="1288"/>
        </w:tabs>
        <w:spacing w:line="420" w:lineRule="auto"/>
        <w:ind w:left="720" w:right="105" w:rightChars="50" w:hanging="720" w:hangingChars="300"/>
        <w:rPr>
          <w:rFonts w:hint="eastAsia"/>
          <w:sz w:val="24"/>
        </w:rPr>
      </w:pPr>
      <w:r>
        <w:rPr>
          <w:rFonts w:hint="eastAsia"/>
          <w:sz w:val="24"/>
        </w:rPr>
        <w:t>（五）乙方必须按双方约定的时间期限将货物安全送至目的地。如不能按期到货的，每超期1日，乙方须按当批货物运费5%的金额（低于200元的按200元）向甲方支付赔偿金；对于因乙方的失误而造成甲方被汽车厂或第三方考核的（汽车厂的到货时间按运价表中的约定到货时间执行），所产生的考核金额由乙方全额承担；因乙方严重失误（包含但不限于运输周期延长造成第三方对甲方的考核，货物窜货、污损、丢失、野蛮装卸而使货物破损严重等）给甲方造成其他经济损失的，甲方有权单方面停止乙方相关路线货物运输，或者中止货物运输协议；并保留进一步向乙方追偿的权力；</w:t>
      </w:r>
    </w:p>
    <w:p w14:paraId="616DA6C0">
      <w:pPr>
        <w:spacing w:line="420" w:lineRule="auto"/>
        <w:ind w:left="720" w:right="105" w:rightChars="50" w:hanging="720" w:hangingChars="300"/>
        <w:rPr>
          <w:rFonts w:hint="eastAsia"/>
          <w:sz w:val="24"/>
        </w:rPr>
      </w:pPr>
      <w:r>
        <w:rPr>
          <w:rFonts w:hint="eastAsia"/>
          <w:sz w:val="24"/>
        </w:rPr>
        <w:t>（六）甲方要求乙方追查货物到货时间的，乙方应积极配合，并于2小时内给予答复。超过两小时无回复的考核每单20</w:t>
      </w:r>
      <w:r>
        <w:rPr>
          <w:rFonts w:hint="eastAsia"/>
          <w:sz w:val="24"/>
          <w:lang w:val="en-US" w:eastAsia="zh-CN"/>
        </w:rPr>
        <w:t>0</w:t>
      </w:r>
      <w:r>
        <w:rPr>
          <w:rFonts w:hint="eastAsia"/>
          <w:sz w:val="24"/>
        </w:rPr>
        <w:t>元。</w:t>
      </w:r>
    </w:p>
    <w:p w14:paraId="79A58439">
      <w:pPr>
        <w:tabs>
          <w:tab w:val="left" w:pos="1288"/>
        </w:tabs>
        <w:spacing w:line="420" w:lineRule="auto"/>
        <w:ind w:left="720" w:right="105" w:rightChars="50" w:hanging="720" w:hangingChars="300"/>
        <w:rPr>
          <w:rFonts w:hint="eastAsia"/>
          <w:sz w:val="24"/>
        </w:rPr>
      </w:pPr>
      <w:r>
        <w:rPr>
          <w:rFonts w:hint="eastAsia"/>
          <w:sz w:val="24"/>
        </w:rPr>
        <w:t>（七）甲方特殊要求的到货时间，乙方必须按约定的时间期限将货物安全送至目的地；如不能按约定的到货时间（未超合同约定时间）内到货的，乙方必须提前与甲方沟通；如乙方未及时沟通导致影响收货方对甲方的满意度的，甲方将按约定到货时间计算超期考核（以客户签收日期为计算依据）。乙方到货时间未按合同约定延迟交货</w:t>
      </w:r>
      <w:r>
        <w:rPr>
          <w:sz w:val="24"/>
        </w:rPr>
        <w:t>3</w:t>
      </w:r>
      <w:r>
        <w:rPr>
          <w:rFonts w:hint="eastAsia"/>
          <w:sz w:val="24"/>
        </w:rPr>
        <w:t>日（含</w:t>
      </w:r>
      <w:r>
        <w:rPr>
          <w:sz w:val="24"/>
        </w:rPr>
        <w:t>3</w:t>
      </w:r>
      <w:r>
        <w:rPr>
          <w:rFonts w:hint="eastAsia"/>
          <w:sz w:val="24"/>
        </w:rPr>
        <w:t>日）以上（以客户签收日期为计算依据），额外考核乙方3</w:t>
      </w:r>
      <w:r>
        <w:rPr>
          <w:sz w:val="24"/>
        </w:rPr>
        <w:t>00</w:t>
      </w:r>
      <w:r>
        <w:rPr>
          <w:rFonts w:hint="eastAsia"/>
          <w:sz w:val="24"/>
        </w:rPr>
        <w:t>元</w:t>
      </w:r>
      <w:r>
        <w:rPr>
          <w:sz w:val="24"/>
        </w:rPr>
        <w:t>/</w:t>
      </w:r>
      <w:r>
        <w:rPr>
          <w:rFonts w:hint="eastAsia"/>
          <w:sz w:val="24"/>
        </w:rPr>
        <w:t>次；当月累计发生延迟交货5次以上的，再考核乙方500元/月；因超期给甲方造成较大经济损失的，甲方保留进一步向乙方追偿的权利。</w:t>
      </w:r>
    </w:p>
    <w:p w14:paraId="4E0536FE">
      <w:pPr>
        <w:spacing w:line="420" w:lineRule="auto"/>
        <w:ind w:right="105" w:rightChars="50"/>
        <w:rPr>
          <w:rFonts w:hint="eastAsia"/>
          <w:b/>
          <w:sz w:val="24"/>
        </w:rPr>
      </w:pPr>
      <w:r>
        <w:rPr>
          <w:rFonts w:hint="eastAsia"/>
          <w:b/>
          <w:sz w:val="24"/>
          <w:highlight w:val="none"/>
        </w:rPr>
        <w:t>六、</w:t>
      </w:r>
      <w:r>
        <w:rPr>
          <w:rFonts w:hint="eastAsia"/>
          <w:b/>
          <w:sz w:val="24"/>
        </w:rPr>
        <w:t xml:space="preserve"> 货物装卸相关要求：</w:t>
      </w:r>
    </w:p>
    <w:p w14:paraId="551215BD">
      <w:pPr>
        <w:spacing w:line="420" w:lineRule="auto"/>
        <w:ind w:right="105" w:rightChars="50"/>
        <w:rPr>
          <w:rFonts w:hint="eastAsia"/>
          <w:sz w:val="24"/>
        </w:rPr>
      </w:pPr>
      <w:r>
        <w:rPr>
          <w:rFonts w:hint="eastAsia"/>
          <w:sz w:val="24"/>
        </w:rPr>
        <w:t>（一）在起运地装车人员由甲方调度安排，产生的所有费用由甲方承担。</w:t>
      </w:r>
    </w:p>
    <w:p w14:paraId="70FAA2D0">
      <w:pPr>
        <w:tabs>
          <w:tab w:val="left" w:pos="1288"/>
        </w:tabs>
        <w:spacing w:line="420" w:lineRule="auto"/>
        <w:ind w:left="720" w:right="105" w:rightChars="50" w:hanging="720" w:hangingChars="300"/>
        <w:rPr>
          <w:rFonts w:hint="eastAsia"/>
          <w:sz w:val="24"/>
        </w:rPr>
      </w:pPr>
      <w:r>
        <w:rPr>
          <w:rFonts w:hint="eastAsia"/>
          <w:sz w:val="24"/>
        </w:rPr>
        <w:t>（二）乙方派专人在甲方驻厂进行业务对接，乙方在接到甲方通知后应当天安排调度车辆接货；乙方如有特殊情况无法安排接货的，须在当天以书面形式告知甲方。如当天乙方未安排车辆接货且未书面告知甲方的，每超期1日，甲方有权按当批货物运费5%的金额考核乙方（低于200元的按200元），考核款直接在乙方的运费中扣减。因此给甲方造成其他经济损失的，甲方保留进一步向乙方追偿的权力。</w:t>
      </w:r>
    </w:p>
    <w:p w14:paraId="146DB5FD">
      <w:pPr>
        <w:tabs>
          <w:tab w:val="left" w:pos="1288"/>
        </w:tabs>
        <w:spacing w:line="420" w:lineRule="auto"/>
        <w:ind w:left="720" w:right="105" w:rightChars="50" w:hanging="720" w:hangingChars="300"/>
        <w:rPr>
          <w:rFonts w:hint="eastAsia"/>
          <w:sz w:val="24"/>
        </w:rPr>
      </w:pPr>
      <w:r>
        <w:rPr>
          <w:rFonts w:hint="eastAsia"/>
          <w:sz w:val="24"/>
        </w:rPr>
        <w:t>（三）货物装车完毕后，乙方的承运司机须在甲方的出货单上签字确认，并登记有效证件如身份证、驾驶证等，由甲方仓库人员对乙方承运司机的有效证件号码进行验证；</w:t>
      </w:r>
    </w:p>
    <w:p w14:paraId="0BCCD973">
      <w:pPr>
        <w:tabs>
          <w:tab w:val="left" w:pos="1288"/>
        </w:tabs>
        <w:spacing w:line="420" w:lineRule="auto"/>
        <w:ind w:right="105" w:rightChars="50"/>
        <w:rPr>
          <w:rFonts w:hint="eastAsia"/>
          <w:sz w:val="24"/>
        </w:rPr>
      </w:pPr>
      <w:r>
        <w:rPr>
          <w:rFonts w:hint="eastAsia"/>
          <w:sz w:val="24"/>
        </w:rPr>
        <w:t>（四）乙方在装卸货物过程中务必保证货物的安全，严禁野蛮装卸、暴力分拣和踩踏货物；</w:t>
      </w:r>
    </w:p>
    <w:p w14:paraId="261373EE">
      <w:pPr>
        <w:tabs>
          <w:tab w:val="left" w:pos="1288"/>
        </w:tabs>
        <w:spacing w:line="420" w:lineRule="auto"/>
        <w:ind w:left="720" w:right="105" w:rightChars="50" w:hanging="720" w:hangingChars="300"/>
        <w:rPr>
          <w:rFonts w:hint="eastAsia"/>
          <w:sz w:val="24"/>
        </w:rPr>
      </w:pPr>
      <w:r>
        <w:rPr>
          <w:rFonts w:hint="eastAsia"/>
          <w:sz w:val="24"/>
        </w:rPr>
        <w:t>（五）甲方通知乙方提货时，应向乙方提供货物的大概重量及体积，以便乙方安排运输车辆；乙方有权对甲方提供的重量及体积进行核实；</w:t>
      </w:r>
    </w:p>
    <w:p w14:paraId="06C361C2">
      <w:pPr>
        <w:tabs>
          <w:tab w:val="left" w:pos="1288"/>
        </w:tabs>
        <w:spacing w:line="420" w:lineRule="auto"/>
        <w:ind w:right="105" w:rightChars="50"/>
        <w:rPr>
          <w:rFonts w:hint="eastAsia"/>
          <w:sz w:val="24"/>
        </w:rPr>
      </w:pPr>
      <w:r>
        <w:rPr>
          <w:rFonts w:hint="eastAsia"/>
          <w:sz w:val="24"/>
        </w:rPr>
        <w:t>（六）乙方提货应当严格细致，验清货物的品种规格及数量。</w:t>
      </w:r>
    </w:p>
    <w:p w14:paraId="6E58DBC5">
      <w:pPr>
        <w:spacing w:line="420" w:lineRule="auto"/>
        <w:ind w:left="450" w:leftChars="100" w:right="105" w:rightChars="50" w:hanging="240" w:hangingChars="100"/>
        <w:rPr>
          <w:rFonts w:hint="eastAsia"/>
          <w:sz w:val="24"/>
        </w:rPr>
      </w:pPr>
      <w:r>
        <w:rPr>
          <w:rFonts w:hint="eastAsia" w:ascii="宋体" w:cs="宋体"/>
          <w:kern w:val="0"/>
          <w:sz w:val="24"/>
        </w:rPr>
        <w:t>1、</w:t>
      </w:r>
      <w:r>
        <w:rPr>
          <w:rFonts w:hint="eastAsia" w:ascii="宋体" w:cs="宋体"/>
          <w:kern w:val="0"/>
          <w:sz w:val="24"/>
          <w:lang w:val="zh-CN"/>
        </w:rPr>
        <w:t>如发现货物标识不清、品种规格与数量不符、收货地址及联系人不详等情况的，乙方应立即与甲方联系，待甲方提供准确、详细信息后再行送货或发运；</w:t>
      </w:r>
    </w:p>
    <w:p w14:paraId="38BAC8D7">
      <w:pPr>
        <w:spacing w:line="420" w:lineRule="auto"/>
        <w:ind w:left="450" w:leftChars="100" w:right="105" w:rightChars="50" w:hanging="240" w:hangingChars="100"/>
        <w:rPr>
          <w:rFonts w:hint="eastAsia"/>
          <w:sz w:val="24"/>
        </w:rPr>
      </w:pPr>
      <w:r>
        <w:rPr>
          <w:rFonts w:hint="eastAsia" w:ascii="宋体" w:cs="宋体"/>
          <w:kern w:val="0"/>
          <w:sz w:val="24"/>
          <w:lang w:val="zh-CN"/>
        </w:rPr>
        <w:t>2、如乙方承运人员在甲方发货单上签字确认提货后再提出货物数量或者型号不符的，甲方概不负责；</w:t>
      </w:r>
    </w:p>
    <w:p w14:paraId="30C1404A">
      <w:pPr>
        <w:spacing w:line="420" w:lineRule="auto"/>
        <w:ind w:left="660" w:leftChars="200" w:right="105" w:rightChars="50" w:hanging="240" w:hangingChars="100"/>
        <w:rPr>
          <w:sz w:val="24"/>
        </w:rPr>
      </w:pPr>
      <w:r>
        <w:rPr>
          <w:rFonts w:hint="eastAsia"/>
          <w:sz w:val="24"/>
        </w:rPr>
        <w:t>3、对</w:t>
      </w:r>
      <w:r>
        <w:rPr>
          <w:rFonts w:hint="eastAsia" w:ascii="宋体" w:cs="宋体"/>
          <w:kern w:val="0"/>
          <w:sz w:val="24"/>
          <w:lang w:val="zh-CN"/>
        </w:rPr>
        <w:t>乙方</w:t>
      </w:r>
      <w:r>
        <w:rPr>
          <w:rFonts w:hint="eastAsia"/>
          <w:sz w:val="24"/>
        </w:rPr>
        <w:t>未认真验收货物造成货物数量或型号不符的，一经查实，乙方还应承担200元/次失误考核，由甲方从乙方的运费中直接扣</w:t>
      </w:r>
      <w:r>
        <w:rPr>
          <w:rFonts w:hint="eastAsia" w:ascii="宋体" w:cs="宋体"/>
          <w:kern w:val="0"/>
          <w:sz w:val="24"/>
          <w:lang w:val="zh-CN"/>
        </w:rPr>
        <w:t>减</w:t>
      </w:r>
      <w:r>
        <w:rPr>
          <w:rFonts w:hint="eastAsia"/>
          <w:sz w:val="24"/>
        </w:rPr>
        <w:t>。</w:t>
      </w:r>
    </w:p>
    <w:p w14:paraId="6C865E3E">
      <w:pPr>
        <w:spacing w:line="420" w:lineRule="auto"/>
        <w:ind w:left="720" w:right="105" w:rightChars="50" w:hanging="720" w:hangingChars="300"/>
        <w:rPr>
          <w:rFonts w:hint="eastAsia" w:ascii="宋体" w:cs="宋体"/>
          <w:kern w:val="0"/>
          <w:sz w:val="24"/>
          <w:lang w:val="zh-CN"/>
        </w:rPr>
      </w:pPr>
      <w:r>
        <w:rPr>
          <w:rFonts w:ascii="宋体" w:cs="宋体"/>
          <w:kern w:val="0"/>
          <w:sz w:val="24"/>
          <w:lang w:val="zh-CN"/>
        </w:rPr>
        <w:t>（七）乙方不得改变甲方托运包装状态，对于踏板打托产品，没有甲方书面同意不允许拆托发运，一经查实，考核200元</w:t>
      </w:r>
      <w:r>
        <w:rPr>
          <w:rFonts w:hint="eastAsia" w:ascii="宋体" w:cs="宋体"/>
          <w:kern w:val="0"/>
          <w:sz w:val="24"/>
          <w:lang w:val="zh-CN"/>
        </w:rPr>
        <w:t>/单，重复发生翻倍考核。</w:t>
      </w:r>
    </w:p>
    <w:p w14:paraId="3096BFED">
      <w:pPr>
        <w:spacing w:line="420" w:lineRule="auto"/>
        <w:ind w:right="105" w:rightChars="50"/>
        <w:rPr>
          <w:rFonts w:hint="eastAsia"/>
          <w:b/>
          <w:sz w:val="24"/>
        </w:rPr>
      </w:pPr>
      <w:r>
        <w:rPr>
          <w:rFonts w:hint="eastAsia"/>
          <w:b/>
          <w:sz w:val="24"/>
        </w:rPr>
        <w:t>七、收货人对货物的验收方法及索赔要求：</w:t>
      </w:r>
    </w:p>
    <w:p w14:paraId="5BCC93C4">
      <w:pPr>
        <w:tabs>
          <w:tab w:val="left" w:pos="1288"/>
        </w:tabs>
        <w:spacing w:line="420" w:lineRule="auto"/>
        <w:ind w:right="105" w:rightChars="50"/>
        <w:rPr>
          <w:rFonts w:hint="eastAsia"/>
          <w:sz w:val="24"/>
        </w:rPr>
      </w:pPr>
      <w:r>
        <w:rPr>
          <w:rFonts w:hint="eastAsia"/>
          <w:sz w:val="24"/>
        </w:rPr>
        <w:t>（一）收货方有权对包装箱外表有损坏的产品开箱检查；</w:t>
      </w:r>
    </w:p>
    <w:p w14:paraId="2243B9C2">
      <w:pPr>
        <w:tabs>
          <w:tab w:val="left" w:pos="1288"/>
        </w:tabs>
        <w:spacing w:line="420" w:lineRule="auto"/>
        <w:ind w:left="720" w:right="105" w:rightChars="50" w:hanging="720" w:hangingChars="300"/>
        <w:rPr>
          <w:rFonts w:hint="eastAsia"/>
          <w:sz w:val="24"/>
        </w:rPr>
      </w:pPr>
      <w:r>
        <w:rPr>
          <w:rFonts w:hint="eastAsia"/>
          <w:sz w:val="24"/>
        </w:rPr>
        <w:t>（二）货物到达目的地后，收货方凭甲方的随货清单进行验收，乙方须凭客户加盖单位公章、签收的有效回执单与甲方结算运费；</w:t>
      </w:r>
    </w:p>
    <w:p w14:paraId="1717AAAD">
      <w:pPr>
        <w:tabs>
          <w:tab w:val="left" w:pos="1288"/>
        </w:tabs>
        <w:spacing w:line="420" w:lineRule="auto"/>
        <w:ind w:right="105" w:rightChars="50"/>
        <w:rPr>
          <w:rFonts w:hint="eastAsia"/>
          <w:sz w:val="24"/>
        </w:rPr>
      </w:pPr>
      <w:r>
        <w:rPr>
          <w:rFonts w:hint="eastAsia"/>
          <w:sz w:val="24"/>
        </w:rPr>
        <w:t>（三）涉及返工费用标准：</w:t>
      </w:r>
    </w:p>
    <w:p w14:paraId="09E2453C">
      <w:pPr>
        <w:tabs>
          <w:tab w:val="left" w:pos="1288"/>
        </w:tabs>
        <w:spacing w:line="420" w:lineRule="auto"/>
        <w:ind w:left="959" w:leftChars="228" w:right="105" w:rightChars="50" w:hanging="480" w:hangingChars="200"/>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sz w:val="24"/>
        </w:rPr>
        <w:t>1、</w:t>
      </w:r>
      <w:r>
        <w:rPr>
          <w:rFonts w:hint="eastAsia" w:asciiTheme="majorEastAsia" w:hAnsiTheme="majorEastAsia" w:eastAsiaTheme="majorEastAsia"/>
          <w:color w:val="000000" w:themeColor="text1"/>
          <w:sz w:val="24"/>
          <w:szCs w:val="24"/>
          <w14:textFill>
            <w14:solidFill>
              <w14:schemeClr w14:val="tx1"/>
            </w14:solidFill>
          </w14:textFill>
        </w:rPr>
        <w:t>人工工时费：机柴滤芯</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5</w:t>
      </w:r>
      <w:r>
        <w:rPr>
          <w:rFonts w:hint="eastAsia" w:asciiTheme="majorEastAsia" w:hAnsiTheme="majorEastAsia" w:eastAsiaTheme="majorEastAsia"/>
          <w:color w:val="000000" w:themeColor="text1"/>
          <w:sz w:val="24"/>
          <w:szCs w:val="24"/>
          <w14:textFill>
            <w14:solidFill>
              <w14:schemeClr w14:val="tx1"/>
            </w14:solidFill>
          </w14:textFill>
        </w:rPr>
        <w:t>元/只</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空滤芯</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14:textFill>
            <w14:solidFill>
              <w14:schemeClr w14:val="tx1"/>
            </w14:solidFill>
          </w14:textFill>
        </w:rPr>
        <w:t>元/只</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空滤总成</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20</w:t>
      </w:r>
      <w:r>
        <w:rPr>
          <w:rFonts w:hint="eastAsia" w:asciiTheme="majorEastAsia" w:hAnsiTheme="majorEastAsia" w:eastAsiaTheme="majorEastAsia"/>
          <w:color w:val="000000" w:themeColor="text1"/>
          <w:sz w:val="24"/>
          <w:szCs w:val="24"/>
          <w14:textFill>
            <w14:solidFill>
              <w14:schemeClr w14:val="tx1"/>
            </w14:solidFill>
          </w14:textFill>
        </w:rPr>
        <w:t>元/套</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沙漠空滤总成</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50</w:t>
      </w:r>
      <w:r>
        <w:rPr>
          <w:rFonts w:hint="eastAsia" w:asciiTheme="majorEastAsia" w:hAnsiTheme="majorEastAsia" w:eastAsiaTheme="majorEastAsia"/>
          <w:color w:val="000000" w:themeColor="text1"/>
          <w:sz w:val="24"/>
          <w:szCs w:val="24"/>
          <w14:textFill>
            <w14:solidFill>
              <w14:schemeClr w14:val="tx1"/>
            </w14:solidFill>
          </w14:textFill>
        </w:rPr>
        <w:t>元/套</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p>
    <w:p w14:paraId="479C77E1">
      <w:pPr>
        <w:tabs>
          <w:tab w:val="left" w:pos="1288"/>
        </w:tabs>
        <w:spacing w:line="420" w:lineRule="auto"/>
        <w:ind w:left="420" w:leftChars="200" w:right="105" w:rightChars="50"/>
        <w:rPr>
          <w:rFonts w:hint="eastAsia"/>
          <w:sz w:val="24"/>
        </w:rPr>
      </w:pPr>
      <w:r>
        <w:rPr>
          <w:rFonts w:hint="eastAsia"/>
          <w:sz w:val="24"/>
        </w:rPr>
        <w:t>2、包装材料费以甲方财务提供的为准。</w:t>
      </w:r>
    </w:p>
    <w:p w14:paraId="0E4617DF">
      <w:pPr>
        <w:tabs>
          <w:tab w:val="left" w:pos="1288"/>
        </w:tabs>
        <w:spacing w:line="420" w:lineRule="auto"/>
        <w:ind w:left="720" w:right="105" w:rightChars="50" w:hanging="720" w:hangingChars="300"/>
        <w:rPr>
          <w:rFonts w:hint="eastAsia"/>
          <w:sz w:val="24"/>
        </w:rPr>
      </w:pPr>
      <w:r>
        <w:rPr>
          <w:rFonts w:hint="eastAsia"/>
          <w:sz w:val="24"/>
        </w:rPr>
        <w:t>（四）因乙方责任造成货物损坏、丢失的，甲方必须以书面形式（索赔证明）通知乙方，以便乙方核查及赔偿；对于有异议的索赔证明乙方应在5日内进行反馈并附相关证明资料；如乙方在收到索赔证明后5日内无反馈，视为默认此单索赔；</w:t>
      </w:r>
      <w:r>
        <w:rPr>
          <w:rFonts w:hint="eastAsia" w:ascii="宋体" w:cs="宋体"/>
          <w:kern w:val="0"/>
          <w:sz w:val="24"/>
          <w:lang w:val="zh-CN"/>
        </w:rPr>
        <w:t>如乙方需退回产品至甲方检测的，由甲方检测后重出索赔证明，乙方在收到新索赔证明后</w:t>
      </w:r>
      <w:r>
        <w:rPr>
          <w:rFonts w:ascii="宋体" w:cs="宋体"/>
          <w:kern w:val="0"/>
          <w:sz w:val="24"/>
          <w:lang w:val="zh-CN"/>
        </w:rPr>
        <w:t>1</w:t>
      </w:r>
      <w:r>
        <w:rPr>
          <w:rFonts w:hint="eastAsia" w:ascii="宋体" w:cs="宋体"/>
          <w:kern w:val="0"/>
          <w:sz w:val="24"/>
          <w:lang w:val="zh-CN"/>
        </w:rPr>
        <w:t>日内答复；乙方不在规定时间内答复的，甲方均视为乙方默认索赔并直接在运费中进行扣减；</w:t>
      </w:r>
      <w:r>
        <w:rPr>
          <w:rFonts w:hint="eastAsia"/>
          <w:sz w:val="24"/>
        </w:rPr>
        <w:t>对于双方确认损坏、丢失的产品，由乙方自行处理，无需再退回甲方。在每月运费结算时甲方根据双方确认的索赔证明对乙方进行扣款。</w:t>
      </w:r>
    </w:p>
    <w:p w14:paraId="5FD48DC3">
      <w:pPr>
        <w:spacing w:line="420" w:lineRule="auto"/>
        <w:ind w:right="105" w:rightChars="50"/>
        <w:rPr>
          <w:rFonts w:hint="eastAsia"/>
          <w:sz w:val="24"/>
        </w:rPr>
      </w:pPr>
      <w:r>
        <w:rPr>
          <w:rFonts w:hint="eastAsia"/>
          <w:sz w:val="24"/>
        </w:rPr>
        <w:t>（五）乙方造成客户回执单丢失要求甲方重出的，当月累计达5单以上考核乙方200元/月；</w:t>
      </w:r>
    </w:p>
    <w:p w14:paraId="5FC65609">
      <w:pPr>
        <w:spacing w:line="420" w:lineRule="auto"/>
        <w:ind w:right="105" w:rightChars="50"/>
        <w:rPr>
          <w:rFonts w:hint="eastAsia"/>
          <w:b/>
          <w:sz w:val="24"/>
        </w:rPr>
      </w:pPr>
      <w:r>
        <w:rPr>
          <w:rFonts w:hint="eastAsia"/>
          <w:b/>
          <w:sz w:val="24"/>
          <w:highlight w:val="none"/>
        </w:rPr>
        <w:t>八、运</w:t>
      </w:r>
      <w:r>
        <w:rPr>
          <w:rFonts w:hint="eastAsia"/>
          <w:b/>
          <w:sz w:val="24"/>
        </w:rPr>
        <w:t>输费用的结算方式：</w:t>
      </w:r>
    </w:p>
    <w:p w14:paraId="16C8F17C">
      <w:pPr>
        <w:spacing w:line="420" w:lineRule="auto"/>
        <w:ind w:left="720" w:right="105" w:rightChars="50" w:hanging="720" w:hangingChars="300"/>
        <w:rPr>
          <w:rFonts w:hint="eastAsia"/>
          <w:color w:val="FF0000"/>
          <w:sz w:val="24"/>
        </w:rPr>
      </w:pPr>
      <w:r>
        <w:rPr>
          <w:rFonts w:hint="eastAsia"/>
          <w:sz w:val="24"/>
        </w:rPr>
        <w:t>（一）运费的计算方法：整车计算。</w:t>
      </w:r>
      <w:r>
        <w:rPr>
          <w:rFonts w:hint="eastAsia"/>
          <w:color w:val="FF0000"/>
          <w:sz w:val="24"/>
        </w:rPr>
        <w:t>结算运费体现不含税价，如遇国家税率调整，不含税价不作调整，相应的增值税按国家规定进行相应调整。</w:t>
      </w:r>
    </w:p>
    <w:p w14:paraId="36319910">
      <w:pPr>
        <w:spacing w:line="420" w:lineRule="auto"/>
        <w:ind w:right="105" w:rightChars="50"/>
        <w:rPr>
          <w:rFonts w:hint="eastAsia"/>
          <w:sz w:val="24"/>
        </w:rPr>
      </w:pPr>
      <w:r>
        <w:rPr>
          <w:rFonts w:hint="eastAsia"/>
          <w:sz w:val="24"/>
        </w:rPr>
        <w:t>（二）甲方每批货物乙方均须安排送货上门；</w:t>
      </w:r>
    </w:p>
    <w:p w14:paraId="4184E508">
      <w:pPr>
        <w:spacing w:line="420" w:lineRule="auto"/>
        <w:ind w:left="720" w:right="105" w:rightChars="50" w:hanging="720" w:hangingChars="300"/>
        <w:rPr>
          <w:rFonts w:hint="eastAsia"/>
          <w:sz w:val="24"/>
        </w:rPr>
      </w:pPr>
      <w:r>
        <w:rPr>
          <w:rFonts w:hint="eastAsia"/>
          <w:sz w:val="24"/>
        </w:rPr>
        <w:t>（三）甲方委托乙方办理的退货及返厂件，运价同样适用此合同运价。退货的承运周期为发货周期的</w:t>
      </w:r>
      <w:r>
        <w:rPr>
          <w:sz w:val="24"/>
        </w:rPr>
        <w:t>1.5</w:t>
      </w:r>
      <w:r>
        <w:rPr>
          <w:rFonts w:hint="eastAsia"/>
          <w:sz w:val="24"/>
        </w:rPr>
        <w:t>倍（特殊情况，经与甲方协商同意的除外），否则将按相关延迟交货条款进行考核。</w:t>
      </w:r>
    </w:p>
    <w:p w14:paraId="181BF7F7">
      <w:pPr>
        <w:spacing w:line="420" w:lineRule="auto"/>
        <w:ind w:left="720" w:right="105" w:rightChars="50" w:hanging="720" w:hangingChars="300"/>
        <w:rPr>
          <w:rFonts w:hint="eastAsia"/>
          <w:sz w:val="24"/>
        </w:rPr>
      </w:pPr>
      <w:r>
        <w:rPr>
          <w:rFonts w:hint="eastAsia"/>
          <w:sz w:val="24"/>
        </w:rPr>
        <w:t>（四）每月10日前乙方按单号排序整理《发货</w:t>
      </w:r>
      <w:r>
        <w:rPr>
          <w:rFonts w:hint="eastAsia"/>
          <w:sz w:val="24"/>
          <w:lang w:val="en-US" w:eastAsia="zh-CN"/>
        </w:rPr>
        <w:t>/调拨</w:t>
      </w:r>
      <w:r>
        <w:rPr>
          <w:rFonts w:hint="eastAsia"/>
          <w:sz w:val="24"/>
        </w:rPr>
        <w:t>签回单》给甲方进行账务核对，双方核对无误后乙方于20日前开具物流结算发票给甲方挂账结算，如超3个月未提供相关单据结算的，甲方有权以产品丢失为由向乙方索赔且不结算当批运费。如当月账务未核对清楚，暂缓结算运费。运费的结算并非乙方责任的终止，如后续收货人对已结算运费单据的收货情况提出异议，乙方仍需配合调查并承担相应责任。</w:t>
      </w:r>
    </w:p>
    <w:p w14:paraId="606AE164">
      <w:pPr>
        <w:spacing w:line="420" w:lineRule="auto"/>
        <w:ind w:left="720" w:right="105" w:rightChars="50" w:hanging="720" w:hangingChars="300"/>
        <w:rPr>
          <w:rFonts w:hint="eastAsia" w:ascii="宋体" w:cs="宋体"/>
          <w:kern w:val="0"/>
          <w:sz w:val="24"/>
          <w:lang w:val="zh-CN"/>
        </w:rPr>
      </w:pPr>
      <w:r>
        <w:rPr>
          <w:rFonts w:hint="eastAsia"/>
          <w:sz w:val="24"/>
        </w:rPr>
        <w:t>（五）每月由乙方提供的有效票据（收货方加盖公章的回执单等）及合格的增值税专用发票给甲方，</w:t>
      </w:r>
      <w:r>
        <w:rPr>
          <w:rFonts w:hint="eastAsia" w:ascii="宋体" w:cs="宋体"/>
          <w:kern w:val="0"/>
          <w:sz w:val="24"/>
          <w:lang w:val="zh-CN"/>
        </w:rPr>
        <w:t>自甲方财务挂账满</w:t>
      </w:r>
      <w:r>
        <w:rPr>
          <w:rFonts w:ascii="宋体" w:cs="宋体"/>
          <w:kern w:val="0"/>
          <w:sz w:val="24"/>
          <w:lang w:val="zh-CN"/>
        </w:rPr>
        <w:t>45</w:t>
      </w:r>
      <w:r>
        <w:rPr>
          <w:rFonts w:hint="eastAsia" w:ascii="宋体" w:cs="宋体"/>
          <w:kern w:val="0"/>
          <w:sz w:val="24"/>
          <w:lang w:val="zh-CN"/>
        </w:rPr>
        <w:t>日后按现金和汇票各50%的比例结算运费。</w:t>
      </w:r>
    </w:p>
    <w:p w14:paraId="0DFAE245">
      <w:pPr>
        <w:spacing w:line="420" w:lineRule="auto"/>
        <w:ind w:left="720" w:right="105" w:rightChars="50" w:hanging="720" w:hangingChars="300"/>
        <w:rPr>
          <w:rFonts w:hint="eastAsia" w:ascii="宋体" w:cs="宋体"/>
          <w:kern w:val="0"/>
          <w:sz w:val="24"/>
          <w:lang w:val="zh-CN"/>
        </w:rPr>
      </w:pPr>
      <w:r>
        <w:rPr>
          <w:rFonts w:hint="eastAsia" w:ascii="宋体" w:cs="宋体"/>
          <w:kern w:val="0"/>
          <w:sz w:val="24"/>
          <w:lang w:val="zh-CN"/>
        </w:rPr>
        <w:t>（六）</w:t>
      </w:r>
      <w:r>
        <w:rPr>
          <w:rFonts w:hint="eastAsia"/>
          <w:sz w:val="24"/>
        </w:rPr>
        <w:t>本着长期合作原则，乙方承诺承运价格不高于市场价格。如甲方发现同等条件下乙方承运价格超过市场价格，甲方有权在运费中将超出部分金额进行扣减，且有权单方取消乙方承运资格。乙方有义务配合甲方进行降成本增效益，次年不得以“路线变更、油价阶段性增长、员工成本增长”等原因提价。</w:t>
      </w:r>
    </w:p>
    <w:p w14:paraId="316513FB">
      <w:pPr>
        <w:spacing w:line="420" w:lineRule="auto"/>
        <w:ind w:right="105" w:rightChars="50"/>
        <w:rPr>
          <w:rFonts w:hint="eastAsia"/>
          <w:sz w:val="24"/>
        </w:rPr>
      </w:pPr>
      <w:r>
        <w:rPr>
          <w:rFonts w:hint="eastAsia"/>
          <w:b/>
          <w:sz w:val="24"/>
        </w:rPr>
        <w:t>九、不可抗力及保密条款</w:t>
      </w:r>
    </w:p>
    <w:p w14:paraId="24E12AC8">
      <w:pPr>
        <w:spacing w:line="420" w:lineRule="auto"/>
        <w:ind w:left="720" w:right="105" w:rightChars="50" w:hanging="720" w:hangingChars="300"/>
        <w:rPr>
          <w:rFonts w:hint="eastAsia"/>
          <w:sz w:val="24"/>
        </w:rPr>
      </w:pPr>
      <w:r>
        <w:rPr>
          <w:rFonts w:hint="eastAsia"/>
          <w:sz w:val="24"/>
        </w:rPr>
        <w:t>（一）如果本合同一方因受不可抗力事件（指特大台风、地震、洪水、火灾、罢工等不可抗因素）影响而未能履行其在本合同项下的全部或部分义务，该义务的履行在不可抗力事件妨碍其履行期间应予中止；</w:t>
      </w:r>
    </w:p>
    <w:p w14:paraId="140411B1">
      <w:pPr>
        <w:spacing w:line="420" w:lineRule="auto"/>
        <w:ind w:left="720" w:right="105" w:rightChars="50" w:hanging="720" w:hangingChars="300"/>
        <w:rPr>
          <w:rFonts w:hint="eastAsia"/>
          <w:sz w:val="24"/>
        </w:rPr>
      </w:pPr>
      <w:r>
        <w:rPr>
          <w:rFonts w:hint="eastAsia"/>
          <w:sz w:val="24"/>
        </w:rPr>
        <w:t>（二）乙方必须保密所知甲方的商业秘密，未经甲方许可，乙方不得将甲方托运物的信息泄露个任何组织和个人（货物信息包括但不限于：货物的名称型号、收货方信息、货物的价格、货物的图片等）。如因乙方的不当泄露造成甲方经济损失的，乙方须承担由此引发的全部法律责任，且视行为严重程度，乙方还需承担10万元--50万元的违约考核款，直接从甲方应付运费中扣除；</w:t>
      </w:r>
    </w:p>
    <w:p w14:paraId="3EC705E5">
      <w:pPr>
        <w:spacing w:line="420" w:lineRule="auto"/>
        <w:ind w:right="105" w:rightChars="50"/>
        <w:rPr>
          <w:rFonts w:hint="eastAsia"/>
          <w:b/>
          <w:sz w:val="24"/>
        </w:rPr>
      </w:pPr>
      <w:r>
        <w:rPr>
          <w:rFonts w:hint="eastAsia"/>
          <w:b/>
          <w:sz w:val="24"/>
        </w:rPr>
        <w:t>十、 协议纠纷处理：</w:t>
      </w:r>
      <w:r>
        <w:rPr>
          <w:rFonts w:hint="eastAsia"/>
          <w:sz w:val="24"/>
        </w:rPr>
        <w:t>本合同履行过程中，若产生争议的，甲乙双方应通过友好协商解决，解决不了的，可向签订地法院提起诉讼解决。</w:t>
      </w:r>
    </w:p>
    <w:p w14:paraId="6ECB3466">
      <w:pPr>
        <w:spacing w:line="420" w:lineRule="auto"/>
        <w:ind w:right="105" w:rightChars="50"/>
        <w:rPr>
          <w:rFonts w:hint="eastAsia"/>
          <w:b/>
          <w:sz w:val="24"/>
        </w:rPr>
      </w:pPr>
      <w:r>
        <w:rPr>
          <w:rFonts w:hint="eastAsia"/>
          <w:b/>
          <w:sz w:val="24"/>
        </w:rPr>
        <w:t>十一、双方商定的其他事项：</w:t>
      </w:r>
    </w:p>
    <w:p w14:paraId="064940D7">
      <w:pPr>
        <w:spacing w:line="420" w:lineRule="auto"/>
        <w:ind w:right="105" w:rightChars="50"/>
        <w:rPr>
          <w:rFonts w:hint="eastAsia"/>
          <w:sz w:val="24"/>
        </w:rPr>
      </w:pPr>
      <w:r>
        <w:rPr>
          <w:rFonts w:hint="eastAsia"/>
          <w:sz w:val="24"/>
        </w:rPr>
        <w:t>（一）甲方须提前两小时通知乙方调度车辆运输；如遇特殊情况须当日与甲方通报协商。</w:t>
      </w:r>
    </w:p>
    <w:p w14:paraId="3AB836AB">
      <w:pPr>
        <w:spacing w:line="420" w:lineRule="auto"/>
        <w:ind w:left="720" w:right="105" w:rightChars="50" w:hanging="720" w:hangingChars="300"/>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sz w:val="24"/>
        </w:rPr>
        <w:t>（二）合同一经签订，</w:t>
      </w:r>
      <w:r>
        <w:rPr>
          <w:rFonts w:hint="eastAsia" w:asciiTheme="majorEastAsia" w:hAnsiTheme="majorEastAsia" w:eastAsiaTheme="majorEastAsia"/>
          <w:color w:val="000000" w:themeColor="text1"/>
          <w:sz w:val="24"/>
          <w:szCs w:val="24"/>
          <w:lang w:eastAsia="zh-CN"/>
          <w14:textFill>
            <w14:solidFill>
              <w14:schemeClr w14:val="tx1"/>
            </w14:solidFill>
          </w14:textFill>
        </w:rPr>
        <w:t>须遵守以下情形：</w:t>
      </w:r>
    </w:p>
    <w:p w14:paraId="24F6D969">
      <w:pPr>
        <w:spacing w:line="420" w:lineRule="auto"/>
        <w:ind w:left="0" w:right="105" w:rightChars="50" w:hanging="720" w:hangingChars="300"/>
        <w:rPr>
          <w:rFonts w:hint="eastAsia"/>
          <w:sz w:val="24"/>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1、</w:t>
      </w:r>
      <w:r>
        <w:rPr>
          <w:rFonts w:hint="eastAsia"/>
          <w:sz w:val="24"/>
        </w:rPr>
        <w:t>在合同期限内乙方不得无故拒运甲方货物，如乙方确有实际困难的，应提前2个月书面</w:t>
      </w:r>
    </w:p>
    <w:p w14:paraId="00B50249">
      <w:pPr>
        <w:spacing w:line="420" w:lineRule="auto"/>
        <w:ind w:left="0" w:right="105" w:rightChars="50" w:hanging="720" w:hangingChars="300"/>
        <w:rPr>
          <w:rFonts w:hint="eastAsia"/>
          <w:sz w:val="24"/>
        </w:rPr>
      </w:pPr>
      <w:r>
        <w:rPr>
          <w:rFonts w:hint="eastAsia"/>
          <w:sz w:val="24"/>
        </w:rPr>
        <w:t>申请取得甲方同意，</w:t>
      </w:r>
      <w:r>
        <w:rPr>
          <w:rFonts w:hint="eastAsia"/>
          <w:sz w:val="24"/>
          <w:lang w:eastAsia="zh-CN"/>
        </w:rPr>
        <w:t>且</w:t>
      </w:r>
      <w:r>
        <w:rPr>
          <w:rFonts w:hint="eastAsia"/>
          <w:sz w:val="24"/>
        </w:rPr>
        <w:t>乙方必须承担甲方更换第二物流时起至合同结束期间所产生的运费差</w:t>
      </w:r>
    </w:p>
    <w:p w14:paraId="09D9AEE1">
      <w:pPr>
        <w:spacing w:line="420" w:lineRule="auto"/>
        <w:ind w:left="0" w:right="105" w:rightChars="50" w:hanging="720" w:hangingChars="300"/>
        <w:rPr>
          <w:rFonts w:hint="eastAsia" w:eastAsia="宋体"/>
          <w:sz w:val="24"/>
          <w:lang w:eastAsia="zh-CN"/>
        </w:rPr>
      </w:pPr>
      <w:r>
        <w:rPr>
          <w:rFonts w:hint="eastAsia"/>
          <w:sz w:val="24"/>
        </w:rPr>
        <w:t>额，甲方保留向乙方追究因拒运造成的相关损失的权利</w:t>
      </w:r>
      <w:r>
        <w:rPr>
          <w:rFonts w:hint="eastAsia"/>
          <w:sz w:val="24"/>
          <w:lang w:eastAsia="zh-CN"/>
        </w:rPr>
        <w:t>。</w:t>
      </w:r>
    </w:p>
    <w:p w14:paraId="30C914B2">
      <w:pPr>
        <w:spacing w:line="420" w:lineRule="auto"/>
        <w:ind w:left="0" w:right="105" w:rightChars="50" w:hanging="720" w:hangingChars="300"/>
        <w:rPr>
          <w:rFonts w:hint="eastAsia"/>
          <w:sz w:val="24"/>
        </w:rPr>
      </w:pPr>
      <w:r>
        <w:rPr>
          <w:rFonts w:hint="eastAsia"/>
          <w:sz w:val="24"/>
          <w:lang w:val="en-US" w:eastAsia="zh-CN"/>
        </w:rPr>
        <w:t>2、</w:t>
      </w:r>
      <w:r>
        <w:rPr>
          <w:rFonts w:hint="eastAsia"/>
          <w:sz w:val="24"/>
        </w:rPr>
        <w:t>对乙方主动提出停止承运的区域线路，甲方有权在次年评选该线路时，取消乙方参选资</w:t>
      </w:r>
    </w:p>
    <w:p w14:paraId="5959E3D2">
      <w:pPr>
        <w:spacing w:line="420" w:lineRule="auto"/>
        <w:ind w:left="0" w:right="105" w:rightChars="50" w:hanging="720" w:hangingChars="300"/>
        <w:rPr>
          <w:rFonts w:hint="eastAsia"/>
          <w:sz w:val="24"/>
        </w:rPr>
      </w:pPr>
      <w:r>
        <w:rPr>
          <w:rFonts w:hint="eastAsia"/>
          <w:sz w:val="24"/>
        </w:rPr>
        <w:t>格。</w:t>
      </w:r>
    </w:p>
    <w:p w14:paraId="5C9E1BD9">
      <w:pPr>
        <w:spacing w:before="312" w:beforeLines="100" w:after="156" w:afterLines="50" w:line="420" w:lineRule="auto"/>
        <w:rPr>
          <w:rFonts w:hint="eastAsia"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3、乙方经营须合法合规，如乙方企业存在经营风险，包括不限于乙方因经营不当导致甲方货物被扣押，或</w:t>
      </w:r>
      <w:r>
        <w:rPr>
          <w:rFonts w:ascii="宋体" w:hAnsi="宋体" w:eastAsia="宋体" w:cs="宋体"/>
          <w:sz w:val="24"/>
          <w:szCs w:val="24"/>
        </w:rPr>
        <w:t>企业法人</w:t>
      </w:r>
      <w:r>
        <w:rPr>
          <w:rFonts w:hint="eastAsia" w:ascii="宋体" w:hAnsi="宋体" w:eastAsia="宋体" w:cs="宋体"/>
          <w:sz w:val="24"/>
          <w:szCs w:val="24"/>
          <w:lang w:val="en-US" w:eastAsia="zh-CN"/>
        </w:rPr>
        <w:t>存在</w:t>
      </w:r>
      <w:r>
        <w:rPr>
          <w:rFonts w:ascii="宋体" w:hAnsi="宋体" w:eastAsia="宋体" w:cs="宋体"/>
          <w:sz w:val="24"/>
          <w:szCs w:val="24"/>
        </w:rPr>
        <w:t>被限制高消费或者</w:t>
      </w:r>
      <w:r>
        <w:rPr>
          <w:rFonts w:hint="eastAsia" w:ascii="宋体" w:hAnsi="宋体" w:eastAsia="宋体" w:cs="宋体"/>
          <w:sz w:val="24"/>
          <w:szCs w:val="24"/>
          <w:lang w:val="en-US" w:eastAsia="zh-CN"/>
        </w:rPr>
        <w:t>被列入</w:t>
      </w:r>
      <w:r>
        <w:rPr>
          <w:rFonts w:ascii="宋体" w:hAnsi="宋体" w:eastAsia="宋体" w:cs="宋体"/>
          <w:sz w:val="24"/>
          <w:szCs w:val="24"/>
        </w:rPr>
        <w:t>失信</w:t>
      </w:r>
      <w:r>
        <w:rPr>
          <w:rFonts w:hint="eastAsia" w:ascii="宋体" w:hAnsi="宋体" w:eastAsia="宋体" w:cs="宋体"/>
          <w:sz w:val="24"/>
          <w:szCs w:val="24"/>
          <w:lang w:val="en-US" w:eastAsia="zh-CN"/>
        </w:rPr>
        <w:t>被</w:t>
      </w:r>
      <w:r>
        <w:rPr>
          <w:rFonts w:ascii="宋体" w:hAnsi="宋体" w:eastAsia="宋体" w:cs="宋体"/>
          <w:sz w:val="24"/>
          <w:szCs w:val="24"/>
        </w:rPr>
        <w:t>执行人</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除赔偿甲方货物被扣押损失外，</w:t>
      </w:r>
      <w:r>
        <w:rPr>
          <w:rFonts w:hint="eastAsia" w:ascii="宋体" w:hAnsi="宋体" w:eastAsia="宋体" w:cs="宋体"/>
          <w:sz w:val="24"/>
          <w:szCs w:val="24"/>
          <w:lang w:eastAsia="zh-CN"/>
        </w:rPr>
        <w:t>甲方有权终止运输合同</w:t>
      </w:r>
      <w:r>
        <w:rPr>
          <w:rFonts w:hint="eastAsia" w:ascii="宋体" w:hAnsi="宋体" w:eastAsia="宋体" w:cs="宋体"/>
          <w:sz w:val="24"/>
          <w:szCs w:val="24"/>
          <w:lang w:val="en-US" w:eastAsia="zh-CN"/>
        </w:rPr>
        <w:t>合同终止后乙方应</w:t>
      </w:r>
      <w:r>
        <w:rPr>
          <w:rFonts w:hint="eastAsia" w:ascii="宋体" w:hAnsi="宋体" w:eastAsia="宋体" w:cs="宋体"/>
          <w:sz w:val="24"/>
          <w:szCs w:val="24"/>
          <w:lang w:eastAsia="zh-CN"/>
        </w:rPr>
        <w:t>在一个月内</w:t>
      </w:r>
      <w:r>
        <w:rPr>
          <w:rFonts w:hint="eastAsia" w:ascii="宋体" w:hAnsi="宋体" w:eastAsia="宋体" w:cs="宋体"/>
          <w:sz w:val="24"/>
          <w:szCs w:val="24"/>
          <w:lang w:val="en-US" w:eastAsia="zh-CN"/>
        </w:rPr>
        <w:t>提供</w:t>
      </w:r>
      <w:r>
        <w:rPr>
          <w:rFonts w:hint="eastAsia" w:ascii="宋体" w:hAnsi="宋体" w:eastAsia="宋体" w:cs="宋体"/>
          <w:sz w:val="24"/>
          <w:szCs w:val="24"/>
          <w:lang w:eastAsia="zh-CN"/>
        </w:rPr>
        <w:t>所</w:t>
      </w:r>
      <w:r>
        <w:rPr>
          <w:rFonts w:hint="eastAsia" w:ascii="宋体" w:hAnsi="宋体" w:eastAsia="宋体" w:cs="宋体"/>
          <w:sz w:val="24"/>
          <w:szCs w:val="24"/>
          <w:lang w:val="en-US" w:eastAsia="zh-CN"/>
        </w:rPr>
        <w:t>承运的</w:t>
      </w:r>
      <w:r>
        <w:rPr>
          <w:rFonts w:hint="eastAsia" w:ascii="宋体" w:hAnsi="宋体" w:eastAsia="宋体" w:cs="宋体"/>
          <w:sz w:val="24"/>
          <w:szCs w:val="24"/>
          <w:lang w:eastAsia="zh-CN"/>
        </w:rPr>
        <w:t>未结算</w:t>
      </w:r>
      <w:r>
        <w:rPr>
          <w:rFonts w:hint="eastAsia" w:ascii="宋体" w:hAnsi="宋体" w:eastAsia="宋体" w:cs="宋体"/>
          <w:sz w:val="24"/>
          <w:szCs w:val="24"/>
          <w:lang w:val="en-US" w:eastAsia="zh-CN"/>
        </w:rPr>
        <w:t>运费</w:t>
      </w:r>
      <w:r>
        <w:rPr>
          <w:rFonts w:hint="eastAsia" w:ascii="宋体" w:hAnsi="宋体" w:eastAsia="宋体" w:cs="宋体"/>
          <w:sz w:val="24"/>
          <w:szCs w:val="24"/>
          <w:lang w:eastAsia="zh-CN"/>
        </w:rPr>
        <w:t>的</w:t>
      </w:r>
      <w:r>
        <w:rPr>
          <w:rFonts w:hint="eastAsia" w:asciiTheme="majorEastAsia" w:hAnsiTheme="majorEastAsia" w:eastAsiaTheme="majorEastAsia"/>
          <w:color w:val="000000" w:themeColor="text1"/>
          <w:sz w:val="24"/>
          <w:szCs w:val="24"/>
          <w14:textFill>
            <w14:solidFill>
              <w14:schemeClr w14:val="tx1"/>
            </w14:solidFill>
          </w14:textFill>
        </w:rPr>
        <w:t>《发货</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/调拨</w:t>
      </w:r>
      <w:r>
        <w:rPr>
          <w:rFonts w:hint="eastAsia" w:asciiTheme="majorEastAsia" w:hAnsiTheme="majorEastAsia" w:eastAsiaTheme="majorEastAsia"/>
          <w:color w:val="000000" w:themeColor="text1"/>
          <w:sz w:val="24"/>
          <w:szCs w:val="24"/>
          <w14:textFill>
            <w14:solidFill>
              <w14:schemeClr w14:val="tx1"/>
            </w14:solidFill>
          </w14:textFill>
        </w:rPr>
        <w:t>签回单》</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超期未提供</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甲方有权</w:t>
      </w:r>
      <w:r>
        <w:rPr>
          <w:rFonts w:hint="eastAsia" w:asciiTheme="majorEastAsia" w:hAnsiTheme="majorEastAsia" w:eastAsiaTheme="majorEastAsia"/>
          <w:color w:val="000000" w:themeColor="text1"/>
          <w:sz w:val="24"/>
          <w:szCs w:val="24"/>
          <w:lang w:eastAsia="zh-CN"/>
          <w14:textFill>
            <w14:solidFill>
              <w14:schemeClr w14:val="tx1"/>
            </w14:solidFill>
          </w14:textFill>
        </w:rPr>
        <w:t>按产品丢失进行索赔处理。</w:t>
      </w:r>
    </w:p>
    <w:p w14:paraId="36A74C82">
      <w:pPr>
        <w:adjustRightInd w:val="0"/>
        <w:snapToGrid w:val="0"/>
        <w:spacing w:line="420" w:lineRule="auto"/>
        <w:ind w:left="720" w:right="105" w:rightChars="50" w:hanging="720" w:hangingChars="300"/>
        <w:rPr>
          <w:rFonts w:hint="eastAsia" w:ascii="宋体" w:hAnsi="宋体"/>
          <w:sz w:val="24"/>
        </w:rPr>
      </w:pPr>
      <w:r>
        <w:rPr>
          <w:rFonts w:hint="eastAsia"/>
          <w:sz w:val="24"/>
        </w:rPr>
        <w:t>（三）乙方在装卸甲方货物时要遵守甲方发货、收货人的指挥；并遵守甲方现场管理、安全生产管理、环境保护等相关管理规定；严禁穿背心、拖鞋进入厂区。如违反相关规定，发生安全事故或造成</w:t>
      </w:r>
      <w:r>
        <w:rPr>
          <w:rFonts w:hint="eastAsia" w:ascii="宋体" w:hAnsi="宋体"/>
          <w:sz w:val="24"/>
        </w:rPr>
        <w:t>生产设备﹑安全装置﹑消防设施﹑公共设施等损坏的，所产生的损失由乙方承担，从甲方应付运费中扣减。</w:t>
      </w:r>
    </w:p>
    <w:p w14:paraId="23941D11">
      <w:pPr>
        <w:adjustRightInd w:val="0"/>
        <w:snapToGrid w:val="0"/>
        <w:spacing w:line="420" w:lineRule="auto"/>
        <w:ind w:left="720" w:right="105" w:rightChars="50" w:hanging="720" w:hangingChars="300"/>
        <w:rPr>
          <w:rFonts w:hint="eastAsia"/>
          <w:sz w:val="24"/>
        </w:rPr>
      </w:pPr>
      <w:r>
        <w:rPr>
          <w:rFonts w:hint="eastAsia"/>
          <w:sz w:val="24"/>
        </w:rPr>
        <w:t>（四）当遇到节假日或者特殊情况乙方停运时，乙方需提前30日书面通知甲方并经甲方同意；因乙方未及时通知甲方或未经甲方同意停运，延误甲方发货工作的，按照每延误1日，扣罚乙方300元/日的标准计算，从甲方应付的运费中扣减。</w:t>
      </w:r>
    </w:p>
    <w:p w14:paraId="5D58C07B">
      <w:pPr>
        <w:spacing w:line="420" w:lineRule="auto"/>
        <w:ind w:right="105" w:rightChars="50"/>
        <w:rPr>
          <w:rFonts w:hint="eastAsia"/>
          <w:sz w:val="24"/>
        </w:rPr>
      </w:pPr>
      <w:r>
        <w:rPr>
          <w:rFonts w:hint="eastAsia"/>
          <w:sz w:val="24"/>
        </w:rPr>
        <w:t>（五）视乙方综合履约情况，甲方还可以采取以下措施：</w:t>
      </w:r>
    </w:p>
    <w:p w14:paraId="2DE3C2BA">
      <w:pPr>
        <w:spacing w:line="420" w:lineRule="auto"/>
        <w:ind w:right="105" w:rightChars="50" w:firstLine="720" w:firstLineChars="300"/>
        <w:rPr>
          <w:rFonts w:hint="eastAsia"/>
          <w:sz w:val="24"/>
        </w:rPr>
      </w:pPr>
      <w:r>
        <w:rPr>
          <w:rFonts w:hint="eastAsia"/>
          <w:sz w:val="24"/>
        </w:rPr>
        <w:t>1、减少托运业务份额和数量；</w:t>
      </w:r>
    </w:p>
    <w:p w14:paraId="0E46D697">
      <w:pPr>
        <w:spacing w:line="420" w:lineRule="auto"/>
        <w:ind w:right="105" w:rightChars="50" w:firstLine="720" w:firstLineChars="300"/>
        <w:rPr>
          <w:rFonts w:hint="eastAsia"/>
          <w:sz w:val="24"/>
        </w:rPr>
      </w:pPr>
      <w:r>
        <w:rPr>
          <w:rFonts w:hint="eastAsia"/>
          <w:sz w:val="24"/>
        </w:rPr>
        <w:t>2、减、缓、停付运费；</w:t>
      </w:r>
    </w:p>
    <w:p w14:paraId="607704DC">
      <w:pPr>
        <w:spacing w:line="420" w:lineRule="auto"/>
        <w:ind w:right="105" w:rightChars="50" w:firstLine="720" w:firstLineChars="300"/>
        <w:rPr>
          <w:rFonts w:hint="eastAsia"/>
          <w:sz w:val="24"/>
        </w:rPr>
      </w:pPr>
      <w:r>
        <w:rPr>
          <w:rFonts w:hint="eastAsia"/>
          <w:sz w:val="24"/>
        </w:rPr>
        <w:t>3、终止运输合同。如乙方切实履行合同，服务承诺言行一致，甲方将在托运业务份额和数量与付款等方面给予重点支持。</w:t>
      </w:r>
    </w:p>
    <w:p w14:paraId="48F965DB">
      <w:pPr>
        <w:spacing w:line="420" w:lineRule="auto"/>
        <w:ind w:left="720" w:right="105" w:rightChars="50" w:hanging="720" w:hangingChars="300"/>
        <w:rPr>
          <w:sz w:val="24"/>
        </w:rPr>
      </w:pPr>
      <w:r>
        <w:rPr>
          <w:rFonts w:hint="eastAsia"/>
          <w:sz w:val="24"/>
        </w:rPr>
        <w:t>（六）甲方可根据特殊情况选择其他物流车发运，特殊情况包含但不限于：急件、客户指定物流、车次等其他要求。</w:t>
      </w:r>
    </w:p>
    <w:p w14:paraId="42CCB8B2">
      <w:pPr>
        <w:spacing w:line="420" w:lineRule="auto"/>
        <w:ind w:left="720" w:right="105" w:rightChars="50" w:hanging="720" w:hangingChars="300"/>
        <w:rPr>
          <w:rFonts w:hint="eastAsia"/>
          <w:sz w:val="24"/>
        </w:rPr>
      </w:pPr>
    </w:p>
    <w:p w14:paraId="0AD9A59D">
      <w:pPr>
        <w:spacing w:line="420" w:lineRule="auto"/>
        <w:ind w:right="105" w:rightChars="50"/>
        <w:rPr>
          <w:b/>
          <w:sz w:val="24"/>
        </w:rPr>
      </w:pPr>
      <w:r>
        <w:rPr>
          <w:rFonts w:hint="eastAsia"/>
          <w:b/>
          <w:sz w:val="24"/>
        </w:rPr>
        <w:t xml:space="preserve">十二、合同有效期： </w:t>
      </w:r>
      <w:r>
        <w:rPr>
          <w:rFonts w:hint="eastAsia"/>
          <w:sz w:val="24"/>
          <w:u w:val="single"/>
        </w:rPr>
        <w:t xml:space="preserve">  2025 </w:t>
      </w:r>
      <w:r>
        <w:rPr>
          <w:rFonts w:hint="eastAsia"/>
          <w:sz w:val="24"/>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u w:val="single"/>
          <w:lang w:val="en-US" w:eastAsia="zh-CN"/>
        </w:rPr>
        <w:t xml:space="preserve">   </w:t>
      </w:r>
      <w:r>
        <w:rPr>
          <w:rFonts w:hint="eastAsia"/>
          <w:sz w:val="24"/>
        </w:rPr>
        <w:t>年</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月</w:t>
      </w:r>
      <w:r>
        <w:rPr>
          <w:rFonts w:hint="eastAsia"/>
          <w:sz w:val="24"/>
          <w:u w:val="single"/>
        </w:rPr>
        <w:t xml:space="preserve">    </w:t>
      </w:r>
      <w:r>
        <w:rPr>
          <w:rFonts w:hint="eastAsia"/>
          <w:sz w:val="24"/>
        </w:rPr>
        <w:t>日；在本合同到期后，新的运输合同签订之前，如双方仍有运输业务发生，本合同仍有效。本合同一式肆份，甲乙双方各执贰份；</w:t>
      </w:r>
    </w:p>
    <w:tbl>
      <w:tblPr>
        <w:tblStyle w:val="9"/>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722"/>
      </w:tblGrid>
      <w:tr w14:paraId="1985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8" w:hRule="atLeast"/>
        </w:trPr>
        <w:tc>
          <w:tcPr>
            <w:tcW w:w="4786" w:type="dxa"/>
            <w:noWrap w:val="0"/>
            <w:vAlign w:val="top"/>
          </w:tcPr>
          <w:p w14:paraId="535F2A23">
            <w:pPr>
              <w:tabs>
                <w:tab w:val="left" w:pos="0"/>
              </w:tabs>
              <w:spacing w:line="360" w:lineRule="auto"/>
              <w:ind w:firstLine="1920" w:firstLineChars="800"/>
              <w:rPr>
                <w:rFonts w:ascii="宋体" w:hAnsi="宋体"/>
                <w:color w:val="000000"/>
                <w:sz w:val="24"/>
              </w:rPr>
            </w:pPr>
            <w:r>
              <w:rPr>
                <w:rFonts w:hint="eastAsia" w:ascii="宋体" w:hAnsi="宋体"/>
                <w:color w:val="000000"/>
                <w:sz w:val="24"/>
              </w:rPr>
              <w:t>甲方</w:t>
            </w:r>
          </w:p>
          <w:p w14:paraId="4277D35F">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甲方（章）：广西华原过滤系统股份有限公司</w:t>
            </w:r>
          </w:p>
          <w:p w14:paraId="2C98470C">
            <w:pPr>
              <w:tabs>
                <w:tab w:val="left" w:pos="1292"/>
              </w:tabs>
              <w:spacing w:line="360" w:lineRule="auto"/>
              <w:ind w:left="1550" w:hanging="1550" w:hangingChars="646"/>
              <w:jc w:val="left"/>
              <w:rPr>
                <w:rFonts w:ascii="宋体" w:hAnsi="宋体"/>
                <w:color w:val="000000"/>
                <w:sz w:val="24"/>
              </w:rPr>
            </w:pPr>
            <w:r>
              <w:rPr>
                <w:rFonts w:hint="eastAsia" w:ascii="宋体" w:hAnsi="宋体"/>
                <w:color w:val="000000"/>
                <w:sz w:val="24"/>
              </w:rPr>
              <w:t>地址：广西玉林市玉公公路坡塘段西侧玉柴工业园坡塘工业集中区</w:t>
            </w:r>
          </w:p>
          <w:p w14:paraId="6AE38E94">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法定代表人：邓福生</w:t>
            </w:r>
          </w:p>
          <w:p w14:paraId="2366A568">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委托代理人：</w:t>
            </w:r>
          </w:p>
          <w:p w14:paraId="2FD4DE5B">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电话：</w:t>
            </w:r>
          </w:p>
          <w:p w14:paraId="3EB8487C">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开户银行：建行玉林市玉柴路支行</w:t>
            </w:r>
          </w:p>
          <w:p w14:paraId="334DF96D">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账号：45001660445050500456</w:t>
            </w:r>
          </w:p>
          <w:p w14:paraId="6362E732">
            <w:pPr>
              <w:tabs>
                <w:tab w:val="left" w:pos="1292"/>
              </w:tabs>
              <w:spacing w:line="360" w:lineRule="auto"/>
              <w:ind w:left="1550" w:hanging="1550" w:hangingChars="646"/>
              <w:rPr>
                <w:rFonts w:ascii="宋体" w:hAnsi="宋体"/>
                <w:color w:val="000000"/>
              </w:rPr>
            </w:pPr>
            <w:r>
              <w:rPr>
                <w:rFonts w:hint="eastAsia" w:ascii="宋体" w:hAnsi="宋体"/>
                <w:color w:val="000000"/>
                <w:sz w:val="24"/>
              </w:rPr>
              <w:t>税号：914509007297448485</w:t>
            </w:r>
          </w:p>
        </w:tc>
        <w:tc>
          <w:tcPr>
            <w:tcW w:w="4722" w:type="dxa"/>
            <w:noWrap w:val="0"/>
            <w:vAlign w:val="center"/>
          </w:tcPr>
          <w:p w14:paraId="636FCB2B">
            <w:pPr>
              <w:tabs>
                <w:tab w:val="left" w:pos="0"/>
              </w:tabs>
              <w:spacing w:line="360" w:lineRule="auto"/>
              <w:ind w:firstLine="1680" w:firstLineChars="700"/>
              <w:rPr>
                <w:rFonts w:ascii="宋体" w:hAnsi="宋体"/>
                <w:color w:val="000000"/>
                <w:sz w:val="24"/>
              </w:rPr>
            </w:pPr>
            <w:r>
              <w:rPr>
                <w:rFonts w:hint="eastAsia" w:ascii="宋体" w:hAnsi="宋体"/>
                <w:color w:val="000000"/>
                <w:sz w:val="24"/>
              </w:rPr>
              <w:t>乙方</w:t>
            </w:r>
          </w:p>
          <w:p w14:paraId="628A47BC">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乙方（章）：</w:t>
            </w:r>
          </w:p>
          <w:p w14:paraId="43961FAA">
            <w:pPr>
              <w:tabs>
                <w:tab w:val="left" w:pos="1292"/>
              </w:tabs>
              <w:spacing w:line="360" w:lineRule="auto"/>
              <w:ind w:left="1550" w:hanging="1550" w:hangingChars="646"/>
              <w:rPr>
                <w:rFonts w:ascii="宋体" w:hAnsi="宋体" w:cs="宋体"/>
                <w:sz w:val="28"/>
                <w:szCs w:val="28"/>
              </w:rPr>
            </w:pPr>
            <w:r>
              <w:rPr>
                <w:rFonts w:hint="eastAsia" w:ascii="宋体" w:hAnsi="宋体"/>
                <w:color w:val="000000"/>
                <w:sz w:val="24"/>
              </w:rPr>
              <w:t>地址：</w:t>
            </w:r>
          </w:p>
          <w:p w14:paraId="24B4AA92">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法定代表人：</w:t>
            </w:r>
          </w:p>
          <w:p w14:paraId="3EBFD78A">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委托代理人：</w:t>
            </w:r>
          </w:p>
          <w:p w14:paraId="5549750F">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电话：</w:t>
            </w:r>
          </w:p>
          <w:p w14:paraId="3393906E">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开户银行：</w:t>
            </w:r>
          </w:p>
          <w:p w14:paraId="5AD786FF">
            <w:pPr>
              <w:tabs>
                <w:tab w:val="left" w:pos="1292"/>
              </w:tabs>
              <w:spacing w:line="360" w:lineRule="auto"/>
              <w:ind w:left="1550" w:hanging="1550" w:hangingChars="646"/>
              <w:rPr>
                <w:rFonts w:ascii="宋体" w:hAnsi="宋体"/>
                <w:color w:val="000000"/>
                <w:sz w:val="24"/>
              </w:rPr>
            </w:pPr>
            <w:r>
              <w:rPr>
                <w:rFonts w:hint="eastAsia" w:ascii="宋体" w:hAnsi="宋体"/>
                <w:color w:val="000000"/>
                <w:sz w:val="24"/>
              </w:rPr>
              <w:t>账号：</w:t>
            </w:r>
          </w:p>
          <w:p w14:paraId="5F48FB3D">
            <w:pPr>
              <w:tabs>
                <w:tab w:val="left" w:pos="1292"/>
              </w:tabs>
              <w:spacing w:line="360" w:lineRule="auto"/>
              <w:ind w:left="1550" w:hanging="1550" w:hangingChars="646"/>
              <w:rPr>
                <w:rFonts w:ascii="宋体" w:hAnsi="宋体"/>
                <w:color w:val="000000"/>
              </w:rPr>
            </w:pPr>
            <w:r>
              <w:rPr>
                <w:rFonts w:hint="eastAsia" w:ascii="宋体" w:hAnsi="宋体"/>
                <w:color w:val="000000"/>
                <w:sz w:val="24"/>
              </w:rPr>
              <w:t>税号：</w:t>
            </w:r>
          </w:p>
        </w:tc>
      </w:tr>
    </w:tbl>
    <w:p w14:paraId="1F0094EE">
      <w:pPr>
        <w:spacing w:before="312" w:beforeLines="100" w:after="156" w:afterLines="50" w:line="420" w:lineRule="auto"/>
        <w:rPr>
          <w:sz w:val="24"/>
        </w:rPr>
      </w:pPr>
    </w:p>
    <w:p w14:paraId="18FC76CE">
      <w:pPr>
        <w:spacing w:before="312" w:beforeLines="100" w:after="156" w:afterLines="50" w:line="420" w:lineRule="auto"/>
        <w:rPr>
          <w:sz w:val="24"/>
        </w:rPr>
      </w:pPr>
    </w:p>
    <w:p w14:paraId="28872727">
      <w:pPr>
        <w:spacing w:before="312" w:beforeLines="100" w:after="156" w:afterLines="50" w:line="420" w:lineRule="auto"/>
        <w:rPr>
          <w:rFonts w:hint="eastAsia"/>
          <w:sz w:val="24"/>
        </w:rPr>
      </w:pPr>
    </w:p>
    <w:sectPr>
      <w:footerReference r:id="rId6" w:type="default"/>
      <w:pgSz w:w="11906" w:h="16838"/>
      <w:pgMar w:top="1701" w:right="1133" w:bottom="1701"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F79E">
    <w:pPr>
      <w:pStyle w:val="4"/>
      <w:framePr w:wrap="around" w:vAnchor="text" w:hAnchor="margin" w:xAlign="center" w:y="1"/>
      <w:rPr>
        <w:rStyle w:val="12"/>
      </w:rPr>
    </w:pPr>
  </w:p>
  <w:p w14:paraId="344E83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7B5C0">
    <w:pPr>
      <w:pStyle w:val="4"/>
      <w:framePr w:wrap="around" w:vAnchor="text" w:hAnchor="margin" w:xAlign="center" w:y="1"/>
      <w:rPr>
        <w:rStyle w:val="12"/>
      </w:rPr>
    </w:pPr>
    <w:r>
      <w:fldChar w:fldCharType="begin"/>
    </w:r>
    <w:r>
      <w:rPr>
        <w:rStyle w:val="12"/>
      </w:rPr>
      <w:instrText xml:space="preserve">PAGE  </w:instrText>
    </w:r>
    <w:r>
      <w:fldChar w:fldCharType="end"/>
    </w:r>
  </w:p>
  <w:p w14:paraId="34F322F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A212">
    <w:pPr>
      <w:pStyle w:val="4"/>
      <w:jc w:val="center"/>
    </w:pPr>
    <w:r>
      <w:fldChar w:fldCharType="begin"/>
    </w:r>
    <w:r>
      <w:instrText xml:space="preserve">PAGE   \* MERGEFORMAT</w:instrText>
    </w:r>
    <w:r>
      <w:fldChar w:fldCharType="separate"/>
    </w:r>
    <w:r>
      <w:rPr>
        <w:lang w:val="zh-CN"/>
      </w:rPr>
      <w:t>6</w:t>
    </w:r>
    <w:r>
      <w:fldChar w:fldCharType="end"/>
    </w:r>
  </w:p>
  <w:p w14:paraId="3724F70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D83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36377"/>
    <w:multiLevelType w:val="multilevel"/>
    <w:tmpl w:val="41036377"/>
    <w:lvl w:ilvl="0" w:tentative="0">
      <w:start w:val="1"/>
      <w:numFmt w:val="japaneseCounting"/>
      <w:lvlText w:val="%1、"/>
      <w:lvlJc w:val="left"/>
      <w:pPr>
        <w:tabs>
          <w:tab w:val="left" w:pos="720"/>
        </w:tabs>
        <w:ind w:left="720" w:hanging="720"/>
      </w:pPr>
      <w:rPr>
        <w:rFonts w:ascii="Times New Roman" w:hAnsi="Times New Roman" w:eastAsia="Times New Roman" w:cs="Times New Roman"/>
        <w:lang w:val="en-US"/>
      </w:rPr>
    </w:lvl>
    <w:lvl w:ilvl="1" w:tentative="0">
      <w:start w:val="1"/>
      <w:numFmt w:val="decimal"/>
      <w:lvlText w:val="%2、"/>
      <w:lvlJc w:val="left"/>
      <w:pPr>
        <w:tabs>
          <w:tab w:val="left" w:pos="1288"/>
        </w:tabs>
        <w:ind w:left="1288" w:hanging="720"/>
      </w:pPr>
      <w:rPr>
        <w:rFonts w:ascii="Times New Roman" w:hAnsi="Times New Roman" w:eastAsia="Times New Roman" w:cs="Times New Roman"/>
      </w:rPr>
    </w:lvl>
    <w:lvl w:ilvl="2" w:tentative="0">
      <w:start w:val="1"/>
      <w:numFmt w:val="decimal"/>
      <w:lvlText w:val="（%3）"/>
      <w:lvlJc w:val="left"/>
      <w:pPr>
        <w:ind w:left="1560" w:hanging="720"/>
      </w:pPr>
      <w:rPr>
        <w:rFonts w:hint="default" w:ascii="宋体" w:cs="宋体"/>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DhhZTBkYzQzNmI4YzFkMTJlNjg5MWI3ODRhOWEifQ=="/>
  </w:docVars>
  <w:rsids>
    <w:rsidRoot w:val="00C8786F"/>
    <w:rsid w:val="00007632"/>
    <w:rsid w:val="00007F72"/>
    <w:rsid w:val="0001140B"/>
    <w:rsid w:val="0001154F"/>
    <w:rsid w:val="0001488D"/>
    <w:rsid w:val="000175E4"/>
    <w:rsid w:val="00017BFF"/>
    <w:rsid w:val="000203EB"/>
    <w:rsid w:val="00021472"/>
    <w:rsid w:val="00022A70"/>
    <w:rsid w:val="0003120F"/>
    <w:rsid w:val="00032B7B"/>
    <w:rsid w:val="0004174F"/>
    <w:rsid w:val="0004582C"/>
    <w:rsid w:val="00050D7D"/>
    <w:rsid w:val="00053BD7"/>
    <w:rsid w:val="00055D07"/>
    <w:rsid w:val="00056F98"/>
    <w:rsid w:val="00063294"/>
    <w:rsid w:val="000730B0"/>
    <w:rsid w:val="00076C57"/>
    <w:rsid w:val="000772DF"/>
    <w:rsid w:val="0007760D"/>
    <w:rsid w:val="00083EEE"/>
    <w:rsid w:val="00091B69"/>
    <w:rsid w:val="0009616D"/>
    <w:rsid w:val="00097066"/>
    <w:rsid w:val="000A3440"/>
    <w:rsid w:val="000A3A23"/>
    <w:rsid w:val="000A53BF"/>
    <w:rsid w:val="000A6CEC"/>
    <w:rsid w:val="000B1605"/>
    <w:rsid w:val="000B19C5"/>
    <w:rsid w:val="000B2405"/>
    <w:rsid w:val="000B6763"/>
    <w:rsid w:val="000C19C4"/>
    <w:rsid w:val="000C4440"/>
    <w:rsid w:val="000C6077"/>
    <w:rsid w:val="000C76D1"/>
    <w:rsid w:val="000D2FAB"/>
    <w:rsid w:val="000D34DC"/>
    <w:rsid w:val="000D397F"/>
    <w:rsid w:val="000D4007"/>
    <w:rsid w:val="000D530D"/>
    <w:rsid w:val="000D5580"/>
    <w:rsid w:val="000E0B17"/>
    <w:rsid w:val="000E4D1A"/>
    <w:rsid w:val="000E5867"/>
    <w:rsid w:val="000E730C"/>
    <w:rsid w:val="000E7D57"/>
    <w:rsid w:val="000F1BED"/>
    <w:rsid w:val="000F2B4F"/>
    <w:rsid w:val="000F2EEA"/>
    <w:rsid w:val="000F4479"/>
    <w:rsid w:val="000F5D42"/>
    <w:rsid w:val="0010000B"/>
    <w:rsid w:val="00104E38"/>
    <w:rsid w:val="00105127"/>
    <w:rsid w:val="00105A24"/>
    <w:rsid w:val="001062A3"/>
    <w:rsid w:val="00107E5D"/>
    <w:rsid w:val="00114FA8"/>
    <w:rsid w:val="00116461"/>
    <w:rsid w:val="00120CC8"/>
    <w:rsid w:val="00122387"/>
    <w:rsid w:val="00122DCB"/>
    <w:rsid w:val="00126960"/>
    <w:rsid w:val="00127E6D"/>
    <w:rsid w:val="001368FB"/>
    <w:rsid w:val="00136E0F"/>
    <w:rsid w:val="00142EE6"/>
    <w:rsid w:val="00143E76"/>
    <w:rsid w:val="001446CC"/>
    <w:rsid w:val="0014758A"/>
    <w:rsid w:val="00154F5F"/>
    <w:rsid w:val="00155AFB"/>
    <w:rsid w:val="00160373"/>
    <w:rsid w:val="0016280E"/>
    <w:rsid w:val="00163933"/>
    <w:rsid w:val="00165CB7"/>
    <w:rsid w:val="00166B49"/>
    <w:rsid w:val="00171309"/>
    <w:rsid w:val="0017533C"/>
    <w:rsid w:val="00177512"/>
    <w:rsid w:val="001776FE"/>
    <w:rsid w:val="001808B2"/>
    <w:rsid w:val="0018466B"/>
    <w:rsid w:val="00184685"/>
    <w:rsid w:val="00186965"/>
    <w:rsid w:val="001907A3"/>
    <w:rsid w:val="0019307C"/>
    <w:rsid w:val="00194A09"/>
    <w:rsid w:val="00194C03"/>
    <w:rsid w:val="00195B4E"/>
    <w:rsid w:val="00196A65"/>
    <w:rsid w:val="001A0115"/>
    <w:rsid w:val="001A141D"/>
    <w:rsid w:val="001A4A74"/>
    <w:rsid w:val="001A708B"/>
    <w:rsid w:val="001B0A7B"/>
    <w:rsid w:val="001B0C81"/>
    <w:rsid w:val="001B5EB2"/>
    <w:rsid w:val="001C35CC"/>
    <w:rsid w:val="001C7BE2"/>
    <w:rsid w:val="001D0144"/>
    <w:rsid w:val="001D078F"/>
    <w:rsid w:val="001D7670"/>
    <w:rsid w:val="001E4E44"/>
    <w:rsid w:val="001F0883"/>
    <w:rsid w:val="001F176B"/>
    <w:rsid w:val="001F20B0"/>
    <w:rsid w:val="001F287D"/>
    <w:rsid w:val="001F5612"/>
    <w:rsid w:val="001F5B8F"/>
    <w:rsid w:val="001F5F0A"/>
    <w:rsid w:val="001F6C5A"/>
    <w:rsid w:val="002012DE"/>
    <w:rsid w:val="00201F1C"/>
    <w:rsid w:val="0020228F"/>
    <w:rsid w:val="002037E0"/>
    <w:rsid w:val="00203D01"/>
    <w:rsid w:val="00205143"/>
    <w:rsid w:val="00206CC0"/>
    <w:rsid w:val="00207419"/>
    <w:rsid w:val="002075CE"/>
    <w:rsid w:val="0021233E"/>
    <w:rsid w:val="00215508"/>
    <w:rsid w:val="00215EAA"/>
    <w:rsid w:val="00216B12"/>
    <w:rsid w:val="002201FE"/>
    <w:rsid w:val="00220AF8"/>
    <w:rsid w:val="00220E5D"/>
    <w:rsid w:val="00220FB1"/>
    <w:rsid w:val="00223B26"/>
    <w:rsid w:val="0022527F"/>
    <w:rsid w:val="002260BC"/>
    <w:rsid w:val="00226518"/>
    <w:rsid w:val="002279CD"/>
    <w:rsid w:val="00232F8C"/>
    <w:rsid w:val="00233312"/>
    <w:rsid w:val="00233BAB"/>
    <w:rsid w:val="0023516B"/>
    <w:rsid w:val="00236B0B"/>
    <w:rsid w:val="00242FC3"/>
    <w:rsid w:val="002436F9"/>
    <w:rsid w:val="002445F2"/>
    <w:rsid w:val="0025129B"/>
    <w:rsid w:val="002519D5"/>
    <w:rsid w:val="002661AA"/>
    <w:rsid w:val="00266856"/>
    <w:rsid w:val="0027106D"/>
    <w:rsid w:val="002833EA"/>
    <w:rsid w:val="00284795"/>
    <w:rsid w:val="00285816"/>
    <w:rsid w:val="00286E6F"/>
    <w:rsid w:val="00293D83"/>
    <w:rsid w:val="002A2CDF"/>
    <w:rsid w:val="002A52D8"/>
    <w:rsid w:val="002A65F7"/>
    <w:rsid w:val="002B64E6"/>
    <w:rsid w:val="002B6638"/>
    <w:rsid w:val="002B7D17"/>
    <w:rsid w:val="002C2407"/>
    <w:rsid w:val="002C5994"/>
    <w:rsid w:val="002D16C4"/>
    <w:rsid w:val="002D20FA"/>
    <w:rsid w:val="002E4AF8"/>
    <w:rsid w:val="002E5428"/>
    <w:rsid w:val="002E56BB"/>
    <w:rsid w:val="002F0278"/>
    <w:rsid w:val="002F1D2B"/>
    <w:rsid w:val="002F3144"/>
    <w:rsid w:val="002F3693"/>
    <w:rsid w:val="002F4FDD"/>
    <w:rsid w:val="002F5CD7"/>
    <w:rsid w:val="00300E3F"/>
    <w:rsid w:val="00302C18"/>
    <w:rsid w:val="00303CFE"/>
    <w:rsid w:val="0030621D"/>
    <w:rsid w:val="00306700"/>
    <w:rsid w:val="003075A6"/>
    <w:rsid w:val="00310A08"/>
    <w:rsid w:val="00310A93"/>
    <w:rsid w:val="00316942"/>
    <w:rsid w:val="00317D96"/>
    <w:rsid w:val="00320216"/>
    <w:rsid w:val="0032264C"/>
    <w:rsid w:val="00323A31"/>
    <w:rsid w:val="00323C35"/>
    <w:rsid w:val="00326C80"/>
    <w:rsid w:val="00330D73"/>
    <w:rsid w:val="00332673"/>
    <w:rsid w:val="00332FBD"/>
    <w:rsid w:val="00335674"/>
    <w:rsid w:val="0035192F"/>
    <w:rsid w:val="003522E5"/>
    <w:rsid w:val="00353673"/>
    <w:rsid w:val="003540E4"/>
    <w:rsid w:val="00354183"/>
    <w:rsid w:val="003558E7"/>
    <w:rsid w:val="00356EFA"/>
    <w:rsid w:val="00357F7F"/>
    <w:rsid w:val="003623E1"/>
    <w:rsid w:val="00364D7A"/>
    <w:rsid w:val="0036619F"/>
    <w:rsid w:val="00366A0D"/>
    <w:rsid w:val="00366E4C"/>
    <w:rsid w:val="00366E99"/>
    <w:rsid w:val="00366F5D"/>
    <w:rsid w:val="00367924"/>
    <w:rsid w:val="00371BEA"/>
    <w:rsid w:val="00371E3B"/>
    <w:rsid w:val="00373D22"/>
    <w:rsid w:val="003775A2"/>
    <w:rsid w:val="00377806"/>
    <w:rsid w:val="00380A4A"/>
    <w:rsid w:val="003818DD"/>
    <w:rsid w:val="00382989"/>
    <w:rsid w:val="00383DEA"/>
    <w:rsid w:val="003845D6"/>
    <w:rsid w:val="003870FA"/>
    <w:rsid w:val="00390626"/>
    <w:rsid w:val="003A03C3"/>
    <w:rsid w:val="003A1671"/>
    <w:rsid w:val="003A346A"/>
    <w:rsid w:val="003A36ED"/>
    <w:rsid w:val="003A495D"/>
    <w:rsid w:val="003A61CC"/>
    <w:rsid w:val="003B164A"/>
    <w:rsid w:val="003B5233"/>
    <w:rsid w:val="003C0250"/>
    <w:rsid w:val="003C0CC0"/>
    <w:rsid w:val="003C401E"/>
    <w:rsid w:val="003C760D"/>
    <w:rsid w:val="003D47CF"/>
    <w:rsid w:val="003D6BB2"/>
    <w:rsid w:val="003D7A85"/>
    <w:rsid w:val="003E00C1"/>
    <w:rsid w:val="003E09C8"/>
    <w:rsid w:val="003E0FDA"/>
    <w:rsid w:val="003E439F"/>
    <w:rsid w:val="003E747D"/>
    <w:rsid w:val="003E79FC"/>
    <w:rsid w:val="003F1D0C"/>
    <w:rsid w:val="003F3D30"/>
    <w:rsid w:val="003F5296"/>
    <w:rsid w:val="003F6BFA"/>
    <w:rsid w:val="003F6D22"/>
    <w:rsid w:val="00401541"/>
    <w:rsid w:val="00404AEF"/>
    <w:rsid w:val="00406872"/>
    <w:rsid w:val="0040703F"/>
    <w:rsid w:val="00411C86"/>
    <w:rsid w:val="004149C0"/>
    <w:rsid w:val="00416E79"/>
    <w:rsid w:val="00421841"/>
    <w:rsid w:val="004225F5"/>
    <w:rsid w:val="00422A74"/>
    <w:rsid w:val="00422BC3"/>
    <w:rsid w:val="004272FB"/>
    <w:rsid w:val="00430B36"/>
    <w:rsid w:val="0043210A"/>
    <w:rsid w:val="00433055"/>
    <w:rsid w:val="00437442"/>
    <w:rsid w:val="00437EE7"/>
    <w:rsid w:val="004401FA"/>
    <w:rsid w:val="004435C6"/>
    <w:rsid w:val="00444605"/>
    <w:rsid w:val="0045023B"/>
    <w:rsid w:val="00452147"/>
    <w:rsid w:val="00453418"/>
    <w:rsid w:val="00454A37"/>
    <w:rsid w:val="00456A43"/>
    <w:rsid w:val="00457A36"/>
    <w:rsid w:val="004621F2"/>
    <w:rsid w:val="00463550"/>
    <w:rsid w:val="004661FF"/>
    <w:rsid w:val="00473468"/>
    <w:rsid w:val="00475375"/>
    <w:rsid w:val="00476BE0"/>
    <w:rsid w:val="00481384"/>
    <w:rsid w:val="00481A7B"/>
    <w:rsid w:val="0048536A"/>
    <w:rsid w:val="00486168"/>
    <w:rsid w:val="00490221"/>
    <w:rsid w:val="00490F15"/>
    <w:rsid w:val="00492928"/>
    <w:rsid w:val="00494A2B"/>
    <w:rsid w:val="00495A64"/>
    <w:rsid w:val="00496617"/>
    <w:rsid w:val="00496854"/>
    <w:rsid w:val="004A0498"/>
    <w:rsid w:val="004A42A0"/>
    <w:rsid w:val="004A4556"/>
    <w:rsid w:val="004A63B8"/>
    <w:rsid w:val="004A69E5"/>
    <w:rsid w:val="004B016B"/>
    <w:rsid w:val="004B1E07"/>
    <w:rsid w:val="004B3144"/>
    <w:rsid w:val="004B4A64"/>
    <w:rsid w:val="004B6EAB"/>
    <w:rsid w:val="004C0574"/>
    <w:rsid w:val="004C15D8"/>
    <w:rsid w:val="004C1787"/>
    <w:rsid w:val="004C3143"/>
    <w:rsid w:val="004C5A13"/>
    <w:rsid w:val="004C7227"/>
    <w:rsid w:val="004D030C"/>
    <w:rsid w:val="004D24FA"/>
    <w:rsid w:val="004D3ED0"/>
    <w:rsid w:val="004D6CB3"/>
    <w:rsid w:val="004F2BB0"/>
    <w:rsid w:val="004F711C"/>
    <w:rsid w:val="005002FB"/>
    <w:rsid w:val="005041A7"/>
    <w:rsid w:val="00507810"/>
    <w:rsid w:val="00512D8D"/>
    <w:rsid w:val="00514B66"/>
    <w:rsid w:val="00516383"/>
    <w:rsid w:val="005207F7"/>
    <w:rsid w:val="00522772"/>
    <w:rsid w:val="0052488F"/>
    <w:rsid w:val="00524D5B"/>
    <w:rsid w:val="00526855"/>
    <w:rsid w:val="0053210B"/>
    <w:rsid w:val="00532FC9"/>
    <w:rsid w:val="005350CC"/>
    <w:rsid w:val="005419D4"/>
    <w:rsid w:val="00543F1B"/>
    <w:rsid w:val="00545589"/>
    <w:rsid w:val="00545CAE"/>
    <w:rsid w:val="0054709C"/>
    <w:rsid w:val="00547A97"/>
    <w:rsid w:val="005556DF"/>
    <w:rsid w:val="0056131A"/>
    <w:rsid w:val="00563984"/>
    <w:rsid w:val="00565157"/>
    <w:rsid w:val="0056787C"/>
    <w:rsid w:val="00573BB2"/>
    <w:rsid w:val="00581B13"/>
    <w:rsid w:val="00581BA5"/>
    <w:rsid w:val="00581BE9"/>
    <w:rsid w:val="005850C9"/>
    <w:rsid w:val="0058702A"/>
    <w:rsid w:val="00590D3B"/>
    <w:rsid w:val="00592665"/>
    <w:rsid w:val="00594223"/>
    <w:rsid w:val="00594D62"/>
    <w:rsid w:val="005A4D0F"/>
    <w:rsid w:val="005A4EC4"/>
    <w:rsid w:val="005A5041"/>
    <w:rsid w:val="005A722D"/>
    <w:rsid w:val="005B432C"/>
    <w:rsid w:val="005B69F5"/>
    <w:rsid w:val="005B6DCF"/>
    <w:rsid w:val="005C0759"/>
    <w:rsid w:val="005C1D05"/>
    <w:rsid w:val="005C4F6A"/>
    <w:rsid w:val="005C78B9"/>
    <w:rsid w:val="005D1221"/>
    <w:rsid w:val="005D1564"/>
    <w:rsid w:val="005D4F49"/>
    <w:rsid w:val="005D6C6D"/>
    <w:rsid w:val="005E08EE"/>
    <w:rsid w:val="005E25AA"/>
    <w:rsid w:val="005E37FC"/>
    <w:rsid w:val="005E3969"/>
    <w:rsid w:val="005E3AEE"/>
    <w:rsid w:val="005F0BEA"/>
    <w:rsid w:val="005F19F5"/>
    <w:rsid w:val="006071CC"/>
    <w:rsid w:val="00610278"/>
    <w:rsid w:val="00610D87"/>
    <w:rsid w:val="006211F9"/>
    <w:rsid w:val="0062157A"/>
    <w:rsid w:val="0062512F"/>
    <w:rsid w:val="00632DF0"/>
    <w:rsid w:val="00634133"/>
    <w:rsid w:val="00636C4D"/>
    <w:rsid w:val="00640BC3"/>
    <w:rsid w:val="00641CDD"/>
    <w:rsid w:val="0064628F"/>
    <w:rsid w:val="006509F9"/>
    <w:rsid w:val="00653C39"/>
    <w:rsid w:val="00655A51"/>
    <w:rsid w:val="00656F92"/>
    <w:rsid w:val="00660BF2"/>
    <w:rsid w:val="00661FAE"/>
    <w:rsid w:val="00662D7A"/>
    <w:rsid w:val="00665C60"/>
    <w:rsid w:val="00667C16"/>
    <w:rsid w:val="006708E2"/>
    <w:rsid w:val="00671985"/>
    <w:rsid w:val="00672F4A"/>
    <w:rsid w:val="00684FED"/>
    <w:rsid w:val="00692734"/>
    <w:rsid w:val="00693E4E"/>
    <w:rsid w:val="00694C5B"/>
    <w:rsid w:val="006A57A1"/>
    <w:rsid w:val="006A580E"/>
    <w:rsid w:val="006B420E"/>
    <w:rsid w:val="006B574B"/>
    <w:rsid w:val="006B66CA"/>
    <w:rsid w:val="006C1FE4"/>
    <w:rsid w:val="006C6084"/>
    <w:rsid w:val="006D369C"/>
    <w:rsid w:val="006D3D0F"/>
    <w:rsid w:val="006D3FC6"/>
    <w:rsid w:val="006D4409"/>
    <w:rsid w:val="006D6141"/>
    <w:rsid w:val="006E125C"/>
    <w:rsid w:val="006E1F1A"/>
    <w:rsid w:val="006E4186"/>
    <w:rsid w:val="006E6572"/>
    <w:rsid w:val="006F01CC"/>
    <w:rsid w:val="006F6ACA"/>
    <w:rsid w:val="0070108B"/>
    <w:rsid w:val="00702FCC"/>
    <w:rsid w:val="00703BC0"/>
    <w:rsid w:val="00706608"/>
    <w:rsid w:val="00706F71"/>
    <w:rsid w:val="0071145A"/>
    <w:rsid w:val="00712D99"/>
    <w:rsid w:val="00724272"/>
    <w:rsid w:val="00726118"/>
    <w:rsid w:val="00733B39"/>
    <w:rsid w:val="0073446E"/>
    <w:rsid w:val="00734A9D"/>
    <w:rsid w:val="00735B25"/>
    <w:rsid w:val="00740057"/>
    <w:rsid w:val="007506C2"/>
    <w:rsid w:val="00750910"/>
    <w:rsid w:val="007544CC"/>
    <w:rsid w:val="00754E6F"/>
    <w:rsid w:val="007556C5"/>
    <w:rsid w:val="00761FCE"/>
    <w:rsid w:val="00763B86"/>
    <w:rsid w:val="00764379"/>
    <w:rsid w:val="00764EDE"/>
    <w:rsid w:val="0076683F"/>
    <w:rsid w:val="007737C3"/>
    <w:rsid w:val="00773DF9"/>
    <w:rsid w:val="00774D8E"/>
    <w:rsid w:val="00775860"/>
    <w:rsid w:val="007759FF"/>
    <w:rsid w:val="007772F2"/>
    <w:rsid w:val="0078210E"/>
    <w:rsid w:val="00782901"/>
    <w:rsid w:val="00786A49"/>
    <w:rsid w:val="0078718A"/>
    <w:rsid w:val="007871D2"/>
    <w:rsid w:val="00791BEB"/>
    <w:rsid w:val="007973D7"/>
    <w:rsid w:val="007A57D0"/>
    <w:rsid w:val="007B100C"/>
    <w:rsid w:val="007B19DE"/>
    <w:rsid w:val="007B1A47"/>
    <w:rsid w:val="007B4510"/>
    <w:rsid w:val="007B4861"/>
    <w:rsid w:val="007B7121"/>
    <w:rsid w:val="007C601A"/>
    <w:rsid w:val="007C7843"/>
    <w:rsid w:val="007D0819"/>
    <w:rsid w:val="007D48D0"/>
    <w:rsid w:val="007D6315"/>
    <w:rsid w:val="007D70DC"/>
    <w:rsid w:val="007E1372"/>
    <w:rsid w:val="007E1AD6"/>
    <w:rsid w:val="007E3549"/>
    <w:rsid w:val="007E44D6"/>
    <w:rsid w:val="007E56F4"/>
    <w:rsid w:val="007E57BB"/>
    <w:rsid w:val="007E6BE7"/>
    <w:rsid w:val="007E7B14"/>
    <w:rsid w:val="007E7BDE"/>
    <w:rsid w:val="007F0CC7"/>
    <w:rsid w:val="007F0DD6"/>
    <w:rsid w:val="007F3DF3"/>
    <w:rsid w:val="007F77AB"/>
    <w:rsid w:val="007F7975"/>
    <w:rsid w:val="008031B3"/>
    <w:rsid w:val="00805310"/>
    <w:rsid w:val="00805867"/>
    <w:rsid w:val="00807830"/>
    <w:rsid w:val="008127AA"/>
    <w:rsid w:val="00813A51"/>
    <w:rsid w:val="008151C2"/>
    <w:rsid w:val="008177FF"/>
    <w:rsid w:val="00823D54"/>
    <w:rsid w:val="0082716F"/>
    <w:rsid w:val="00827589"/>
    <w:rsid w:val="00832AB9"/>
    <w:rsid w:val="00836FCE"/>
    <w:rsid w:val="00841240"/>
    <w:rsid w:val="00841B86"/>
    <w:rsid w:val="00842008"/>
    <w:rsid w:val="00843BDA"/>
    <w:rsid w:val="008623D0"/>
    <w:rsid w:val="00863996"/>
    <w:rsid w:val="00865A15"/>
    <w:rsid w:val="0087026E"/>
    <w:rsid w:val="00872927"/>
    <w:rsid w:val="00876797"/>
    <w:rsid w:val="0088268E"/>
    <w:rsid w:val="008864D6"/>
    <w:rsid w:val="0089275C"/>
    <w:rsid w:val="00894091"/>
    <w:rsid w:val="00895689"/>
    <w:rsid w:val="008977DB"/>
    <w:rsid w:val="00897C02"/>
    <w:rsid w:val="008A01F5"/>
    <w:rsid w:val="008A225E"/>
    <w:rsid w:val="008B69C7"/>
    <w:rsid w:val="008C5064"/>
    <w:rsid w:val="008C7AFB"/>
    <w:rsid w:val="008C7BA1"/>
    <w:rsid w:val="008D07D0"/>
    <w:rsid w:val="008D6430"/>
    <w:rsid w:val="008E1653"/>
    <w:rsid w:val="008E2FFB"/>
    <w:rsid w:val="008E33DE"/>
    <w:rsid w:val="008E4098"/>
    <w:rsid w:val="008E53D0"/>
    <w:rsid w:val="008F296D"/>
    <w:rsid w:val="008F5A51"/>
    <w:rsid w:val="00902878"/>
    <w:rsid w:val="0090465E"/>
    <w:rsid w:val="00906FC0"/>
    <w:rsid w:val="00910F96"/>
    <w:rsid w:val="00913F7E"/>
    <w:rsid w:val="009232B0"/>
    <w:rsid w:val="00931427"/>
    <w:rsid w:val="00933088"/>
    <w:rsid w:val="0093548B"/>
    <w:rsid w:val="00936C32"/>
    <w:rsid w:val="00937B0F"/>
    <w:rsid w:val="009410C3"/>
    <w:rsid w:val="009425C4"/>
    <w:rsid w:val="0095085D"/>
    <w:rsid w:val="00951FC2"/>
    <w:rsid w:val="00960EFC"/>
    <w:rsid w:val="009635D9"/>
    <w:rsid w:val="0096684F"/>
    <w:rsid w:val="009676BC"/>
    <w:rsid w:val="00970668"/>
    <w:rsid w:val="00970B3B"/>
    <w:rsid w:val="00970D0A"/>
    <w:rsid w:val="00972453"/>
    <w:rsid w:val="00972697"/>
    <w:rsid w:val="00973A31"/>
    <w:rsid w:val="00976CAD"/>
    <w:rsid w:val="009773B4"/>
    <w:rsid w:val="00977E0F"/>
    <w:rsid w:val="009801A3"/>
    <w:rsid w:val="00980B34"/>
    <w:rsid w:val="0098244E"/>
    <w:rsid w:val="009846BE"/>
    <w:rsid w:val="00987497"/>
    <w:rsid w:val="00994B09"/>
    <w:rsid w:val="009953D1"/>
    <w:rsid w:val="00995800"/>
    <w:rsid w:val="00995C9A"/>
    <w:rsid w:val="009A2737"/>
    <w:rsid w:val="009A28F4"/>
    <w:rsid w:val="009A29DB"/>
    <w:rsid w:val="009A5D87"/>
    <w:rsid w:val="009B0D59"/>
    <w:rsid w:val="009B5429"/>
    <w:rsid w:val="009C09AB"/>
    <w:rsid w:val="009C39F4"/>
    <w:rsid w:val="009C7866"/>
    <w:rsid w:val="009D0903"/>
    <w:rsid w:val="009D0BA0"/>
    <w:rsid w:val="009D3846"/>
    <w:rsid w:val="009E12E6"/>
    <w:rsid w:val="009E1308"/>
    <w:rsid w:val="009E3CC2"/>
    <w:rsid w:val="009E7114"/>
    <w:rsid w:val="009F6E1F"/>
    <w:rsid w:val="009F7481"/>
    <w:rsid w:val="009F7973"/>
    <w:rsid w:val="00A01D52"/>
    <w:rsid w:val="00A02AB0"/>
    <w:rsid w:val="00A12A2A"/>
    <w:rsid w:val="00A1528F"/>
    <w:rsid w:val="00A15892"/>
    <w:rsid w:val="00A1689F"/>
    <w:rsid w:val="00A225E7"/>
    <w:rsid w:val="00A27EE4"/>
    <w:rsid w:val="00A31019"/>
    <w:rsid w:val="00A32622"/>
    <w:rsid w:val="00A3413C"/>
    <w:rsid w:val="00A361CD"/>
    <w:rsid w:val="00A369B5"/>
    <w:rsid w:val="00A400E2"/>
    <w:rsid w:val="00A40210"/>
    <w:rsid w:val="00A42418"/>
    <w:rsid w:val="00A47D1F"/>
    <w:rsid w:val="00A52B4E"/>
    <w:rsid w:val="00A55B36"/>
    <w:rsid w:val="00A57F22"/>
    <w:rsid w:val="00A61B16"/>
    <w:rsid w:val="00A66EE8"/>
    <w:rsid w:val="00A7384F"/>
    <w:rsid w:val="00A7639E"/>
    <w:rsid w:val="00A77066"/>
    <w:rsid w:val="00A818AF"/>
    <w:rsid w:val="00A829C7"/>
    <w:rsid w:val="00A82CA8"/>
    <w:rsid w:val="00A82E53"/>
    <w:rsid w:val="00A8353A"/>
    <w:rsid w:val="00A83B5F"/>
    <w:rsid w:val="00A86289"/>
    <w:rsid w:val="00A907DC"/>
    <w:rsid w:val="00A91458"/>
    <w:rsid w:val="00A91ABD"/>
    <w:rsid w:val="00A93A1E"/>
    <w:rsid w:val="00A96079"/>
    <w:rsid w:val="00AA3F4C"/>
    <w:rsid w:val="00AA6EDF"/>
    <w:rsid w:val="00AB1EEF"/>
    <w:rsid w:val="00AB469B"/>
    <w:rsid w:val="00AB61C9"/>
    <w:rsid w:val="00AB6DCC"/>
    <w:rsid w:val="00AB7F69"/>
    <w:rsid w:val="00AC1AF0"/>
    <w:rsid w:val="00AC7702"/>
    <w:rsid w:val="00AD06FF"/>
    <w:rsid w:val="00AD13DF"/>
    <w:rsid w:val="00AD2861"/>
    <w:rsid w:val="00AD2B33"/>
    <w:rsid w:val="00AD3AD5"/>
    <w:rsid w:val="00AE2132"/>
    <w:rsid w:val="00AE35A5"/>
    <w:rsid w:val="00AE5215"/>
    <w:rsid w:val="00AF5FE9"/>
    <w:rsid w:val="00B06095"/>
    <w:rsid w:val="00B06798"/>
    <w:rsid w:val="00B07E54"/>
    <w:rsid w:val="00B115EE"/>
    <w:rsid w:val="00B24854"/>
    <w:rsid w:val="00B32BA0"/>
    <w:rsid w:val="00B51789"/>
    <w:rsid w:val="00B517AF"/>
    <w:rsid w:val="00B52C90"/>
    <w:rsid w:val="00B534E7"/>
    <w:rsid w:val="00B56663"/>
    <w:rsid w:val="00B6324B"/>
    <w:rsid w:val="00B65499"/>
    <w:rsid w:val="00B657A4"/>
    <w:rsid w:val="00B741F9"/>
    <w:rsid w:val="00B74562"/>
    <w:rsid w:val="00B75FC3"/>
    <w:rsid w:val="00B85A49"/>
    <w:rsid w:val="00B90814"/>
    <w:rsid w:val="00B9518F"/>
    <w:rsid w:val="00BA022D"/>
    <w:rsid w:val="00BA1822"/>
    <w:rsid w:val="00BA6052"/>
    <w:rsid w:val="00BB19AD"/>
    <w:rsid w:val="00BB23A3"/>
    <w:rsid w:val="00BB2F42"/>
    <w:rsid w:val="00BB319F"/>
    <w:rsid w:val="00BB3477"/>
    <w:rsid w:val="00BB6205"/>
    <w:rsid w:val="00BC3FB4"/>
    <w:rsid w:val="00BC5A63"/>
    <w:rsid w:val="00BC6B15"/>
    <w:rsid w:val="00BD2CBB"/>
    <w:rsid w:val="00BD7204"/>
    <w:rsid w:val="00BD760A"/>
    <w:rsid w:val="00BE0088"/>
    <w:rsid w:val="00BE3C81"/>
    <w:rsid w:val="00BE714A"/>
    <w:rsid w:val="00C012A3"/>
    <w:rsid w:val="00C026D7"/>
    <w:rsid w:val="00C10220"/>
    <w:rsid w:val="00C10420"/>
    <w:rsid w:val="00C146F6"/>
    <w:rsid w:val="00C1470D"/>
    <w:rsid w:val="00C2002A"/>
    <w:rsid w:val="00C200E0"/>
    <w:rsid w:val="00C238E5"/>
    <w:rsid w:val="00C272EE"/>
    <w:rsid w:val="00C33F1B"/>
    <w:rsid w:val="00C34C9D"/>
    <w:rsid w:val="00C35CF2"/>
    <w:rsid w:val="00C45AED"/>
    <w:rsid w:val="00C51218"/>
    <w:rsid w:val="00C51559"/>
    <w:rsid w:val="00C56291"/>
    <w:rsid w:val="00C61CAD"/>
    <w:rsid w:val="00C63E85"/>
    <w:rsid w:val="00C66021"/>
    <w:rsid w:val="00C70A9C"/>
    <w:rsid w:val="00C70B0F"/>
    <w:rsid w:val="00C746B3"/>
    <w:rsid w:val="00C76E1E"/>
    <w:rsid w:val="00C81566"/>
    <w:rsid w:val="00C81A68"/>
    <w:rsid w:val="00C82952"/>
    <w:rsid w:val="00C837E8"/>
    <w:rsid w:val="00C87125"/>
    <w:rsid w:val="00C8786F"/>
    <w:rsid w:val="00C905C3"/>
    <w:rsid w:val="00C94AB9"/>
    <w:rsid w:val="00CA1DC5"/>
    <w:rsid w:val="00CB4D08"/>
    <w:rsid w:val="00CB5696"/>
    <w:rsid w:val="00CB7C8F"/>
    <w:rsid w:val="00CB7CD1"/>
    <w:rsid w:val="00CC3116"/>
    <w:rsid w:val="00CD09C4"/>
    <w:rsid w:val="00CD4A3C"/>
    <w:rsid w:val="00CD5A32"/>
    <w:rsid w:val="00CD6BB2"/>
    <w:rsid w:val="00CE0316"/>
    <w:rsid w:val="00CE1CE4"/>
    <w:rsid w:val="00CE5316"/>
    <w:rsid w:val="00CE5E8E"/>
    <w:rsid w:val="00CF01FE"/>
    <w:rsid w:val="00CF44C1"/>
    <w:rsid w:val="00CF72F9"/>
    <w:rsid w:val="00CF7E00"/>
    <w:rsid w:val="00D03E3A"/>
    <w:rsid w:val="00D04CF0"/>
    <w:rsid w:val="00D0546D"/>
    <w:rsid w:val="00D12942"/>
    <w:rsid w:val="00D12A1A"/>
    <w:rsid w:val="00D146F8"/>
    <w:rsid w:val="00D14794"/>
    <w:rsid w:val="00D20B45"/>
    <w:rsid w:val="00D214B6"/>
    <w:rsid w:val="00D21BEC"/>
    <w:rsid w:val="00D21C3B"/>
    <w:rsid w:val="00D232BF"/>
    <w:rsid w:val="00D2364C"/>
    <w:rsid w:val="00D275FE"/>
    <w:rsid w:val="00D27C16"/>
    <w:rsid w:val="00D30062"/>
    <w:rsid w:val="00D3125E"/>
    <w:rsid w:val="00D32F80"/>
    <w:rsid w:val="00D36725"/>
    <w:rsid w:val="00D4397E"/>
    <w:rsid w:val="00D47D17"/>
    <w:rsid w:val="00D55E69"/>
    <w:rsid w:val="00D562D5"/>
    <w:rsid w:val="00D57401"/>
    <w:rsid w:val="00D57C5B"/>
    <w:rsid w:val="00D601E1"/>
    <w:rsid w:val="00D61093"/>
    <w:rsid w:val="00D62D97"/>
    <w:rsid w:val="00D6381F"/>
    <w:rsid w:val="00D65D47"/>
    <w:rsid w:val="00D716D9"/>
    <w:rsid w:val="00D74A7C"/>
    <w:rsid w:val="00D80414"/>
    <w:rsid w:val="00D8129D"/>
    <w:rsid w:val="00D82616"/>
    <w:rsid w:val="00D8266C"/>
    <w:rsid w:val="00D82A30"/>
    <w:rsid w:val="00D8776C"/>
    <w:rsid w:val="00D87F2A"/>
    <w:rsid w:val="00D902C7"/>
    <w:rsid w:val="00D9070B"/>
    <w:rsid w:val="00D92996"/>
    <w:rsid w:val="00D94A42"/>
    <w:rsid w:val="00D959BF"/>
    <w:rsid w:val="00D95D54"/>
    <w:rsid w:val="00DB1D3E"/>
    <w:rsid w:val="00DB4DBD"/>
    <w:rsid w:val="00DC08C0"/>
    <w:rsid w:val="00DC0F81"/>
    <w:rsid w:val="00DC356B"/>
    <w:rsid w:val="00DD0F4A"/>
    <w:rsid w:val="00DD314B"/>
    <w:rsid w:val="00DD4D62"/>
    <w:rsid w:val="00DD5D80"/>
    <w:rsid w:val="00DD71E3"/>
    <w:rsid w:val="00DE5C46"/>
    <w:rsid w:val="00DE77DC"/>
    <w:rsid w:val="00DF0F2D"/>
    <w:rsid w:val="00E01996"/>
    <w:rsid w:val="00E0199B"/>
    <w:rsid w:val="00E01A6D"/>
    <w:rsid w:val="00E03F3B"/>
    <w:rsid w:val="00E067B7"/>
    <w:rsid w:val="00E1103C"/>
    <w:rsid w:val="00E11FD6"/>
    <w:rsid w:val="00E147CE"/>
    <w:rsid w:val="00E15266"/>
    <w:rsid w:val="00E21488"/>
    <w:rsid w:val="00E2234C"/>
    <w:rsid w:val="00E30BAF"/>
    <w:rsid w:val="00E30E53"/>
    <w:rsid w:val="00E31A91"/>
    <w:rsid w:val="00E371CF"/>
    <w:rsid w:val="00E407F7"/>
    <w:rsid w:val="00E451DC"/>
    <w:rsid w:val="00E46094"/>
    <w:rsid w:val="00E46158"/>
    <w:rsid w:val="00E60C4A"/>
    <w:rsid w:val="00E619AB"/>
    <w:rsid w:val="00E62F90"/>
    <w:rsid w:val="00E64748"/>
    <w:rsid w:val="00E678A6"/>
    <w:rsid w:val="00E67978"/>
    <w:rsid w:val="00E70EA0"/>
    <w:rsid w:val="00E752C7"/>
    <w:rsid w:val="00E75F67"/>
    <w:rsid w:val="00E8075E"/>
    <w:rsid w:val="00E812E3"/>
    <w:rsid w:val="00E848DB"/>
    <w:rsid w:val="00E84920"/>
    <w:rsid w:val="00E879E4"/>
    <w:rsid w:val="00E87C49"/>
    <w:rsid w:val="00E911D7"/>
    <w:rsid w:val="00E95480"/>
    <w:rsid w:val="00EA28FA"/>
    <w:rsid w:val="00EB0D13"/>
    <w:rsid w:val="00EB4FC0"/>
    <w:rsid w:val="00EB5D51"/>
    <w:rsid w:val="00EB7C83"/>
    <w:rsid w:val="00EE6BEC"/>
    <w:rsid w:val="00EF446C"/>
    <w:rsid w:val="00EF61FF"/>
    <w:rsid w:val="00F02F67"/>
    <w:rsid w:val="00F0540A"/>
    <w:rsid w:val="00F119AE"/>
    <w:rsid w:val="00F13974"/>
    <w:rsid w:val="00F158ED"/>
    <w:rsid w:val="00F23373"/>
    <w:rsid w:val="00F246C1"/>
    <w:rsid w:val="00F254E3"/>
    <w:rsid w:val="00F2663F"/>
    <w:rsid w:val="00F30921"/>
    <w:rsid w:val="00F30B28"/>
    <w:rsid w:val="00F32A08"/>
    <w:rsid w:val="00F3419F"/>
    <w:rsid w:val="00F416A8"/>
    <w:rsid w:val="00F42B52"/>
    <w:rsid w:val="00F42C21"/>
    <w:rsid w:val="00F472CC"/>
    <w:rsid w:val="00F52DB5"/>
    <w:rsid w:val="00F52EC6"/>
    <w:rsid w:val="00F56D19"/>
    <w:rsid w:val="00F576D1"/>
    <w:rsid w:val="00F5791E"/>
    <w:rsid w:val="00F57EA1"/>
    <w:rsid w:val="00F62D0D"/>
    <w:rsid w:val="00F67ADC"/>
    <w:rsid w:val="00F8049D"/>
    <w:rsid w:val="00F8086C"/>
    <w:rsid w:val="00F80BE9"/>
    <w:rsid w:val="00F84968"/>
    <w:rsid w:val="00F921F0"/>
    <w:rsid w:val="00F92945"/>
    <w:rsid w:val="00F93138"/>
    <w:rsid w:val="00F9441C"/>
    <w:rsid w:val="00F94531"/>
    <w:rsid w:val="00F97C0F"/>
    <w:rsid w:val="00FA07EC"/>
    <w:rsid w:val="00FA371E"/>
    <w:rsid w:val="00FA3A91"/>
    <w:rsid w:val="00FB475F"/>
    <w:rsid w:val="00FB4E98"/>
    <w:rsid w:val="00FC0467"/>
    <w:rsid w:val="00FD67FC"/>
    <w:rsid w:val="00FD7C87"/>
    <w:rsid w:val="00FE1952"/>
    <w:rsid w:val="00FE1FAD"/>
    <w:rsid w:val="00FE4CB7"/>
    <w:rsid w:val="00FF0BA6"/>
    <w:rsid w:val="00FF0F99"/>
    <w:rsid w:val="00FF1954"/>
    <w:rsid w:val="00FF31A1"/>
    <w:rsid w:val="00FF511E"/>
    <w:rsid w:val="00FF511F"/>
    <w:rsid w:val="00FF5C14"/>
    <w:rsid w:val="00FF69D7"/>
    <w:rsid w:val="00FF6FB6"/>
    <w:rsid w:val="08FC528A"/>
    <w:rsid w:val="0BB579E9"/>
    <w:rsid w:val="155E4F9E"/>
    <w:rsid w:val="1F4E5D32"/>
    <w:rsid w:val="23715D32"/>
    <w:rsid w:val="29B13E8F"/>
    <w:rsid w:val="2B9B22FF"/>
    <w:rsid w:val="3AE80ADC"/>
    <w:rsid w:val="3CB36CA0"/>
    <w:rsid w:val="42F51E9D"/>
    <w:rsid w:val="43704862"/>
    <w:rsid w:val="470B6133"/>
    <w:rsid w:val="47A73774"/>
    <w:rsid w:val="4A084BAC"/>
    <w:rsid w:val="56A619D5"/>
    <w:rsid w:val="59A53D4E"/>
    <w:rsid w:val="59CE553E"/>
    <w:rsid w:val="610D5878"/>
    <w:rsid w:val="61A76D33"/>
    <w:rsid w:val="62BD7917"/>
    <w:rsid w:val="66AE532D"/>
    <w:rsid w:val="69987430"/>
    <w:rsid w:val="6CD24E7A"/>
    <w:rsid w:val="6DD33AA3"/>
    <w:rsid w:val="77316C41"/>
    <w:rsid w:val="7B7535A0"/>
    <w:rsid w:val="7B9F23CB"/>
    <w:rsid w:val="7BD362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8">
    <w:name w:val="annotation subject"/>
    <w:basedOn w:val="2"/>
    <w:next w:val="2"/>
    <w:link w:val="17"/>
    <w:qFormat/>
    <w:uiPriority w:val="0"/>
    <w:rPr>
      <w:b/>
      <w:bCs/>
    </w:rPr>
  </w:style>
  <w:style w:type="table" w:styleId="10">
    <w:name w:val="Table Grid"/>
    <w:basedOn w:val="9"/>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annotation reference"/>
    <w:qFormat/>
    <w:uiPriority w:val="0"/>
    <w:rPr>
      <w:sz w:val="21"/>
      <w:szCs w:val="21"/>
    </w:rPr>
  </w:style>
  <w:style w:type="character" w:customStyle="1" w:styleId="14">
    <w:name w:val="批注文字 字符"/>
    <w:link w:val="2"/>
    <w:qFormat/>
    <w:uiPriority w:val="0"/>
    <w:rPr>
      <w:kern w:val="2"/>
      <w:sz w:val="21"/>
      <w:szCs w:val="24"/>
    </w:rPr>
  </w:style>
  <w:style w:type="character" w:customStyle="1" w:styleId="15">
    <w:name w:val="页脚 字符"/>
    <w:link w:val="4"/>
    <w:qFormat/>
    <w:uiPriority w:val="99"/>
    <w:rPr>
      <w:kern w:val="2"/>
      <w:sz w:val="18"/>
      <w:szCs w:val="18"/>
    </w:rPr>
  </w:style>
  <w:style w:type="character" w:customStyle="1" w:styleId="16">
    <w:name w:val="副标题 字符"/>
    <w:link w:val="6"/>
    <w:qFormat/>
    <w:uiPriority w:val="0"/>
    <w:rPr>
      <w:rFonts w:ascii="Cambria" w:hAnsi="Cambria" w:cs="Times New Roman"/>
      <w:b/>
      <w:bCs/>
      <w:kern w:val="28"/>
      <w:sz w:val="32"/>
      <w:szCs w:val="32"/>
    </w:rPr>
  </w:style>
  <w:style w:type="character" w:customStyle="1" w:styleId="17">
    <w:name w:val="批注主题 字符"/>
    <w:link w:val="8"/>
    <w:qFormat/>
    <w:uiPriority w:val="0"/>
    <w:rPr>
      <w:b/>
      <w:bCs/>
      <w:kern w:val="2"/>
      <w:sz w:val="21"/>
      <w:szCs w:val="24"/>
    </w:rPr>
  </w:style>
  <w:style w:type="paragraph" w:customStyle="1" w:styleId="18">
    <w:name w:val="_Style 17"/>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4534</Words>
  <Characters>4618</Characters>
  <Lines>34</Lines>
  <Paragraphs>9</Paragraphs>
  <TotalTime>5</TotalTime>
  <ScaleCrop>false</ScaleCrop>
  <LinksUpToDate>false</LinksUpToDate>
  <CharactersWithSpaces>4740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2025-06-05T07:10:00Z</dcterms:created>
  <dc:creator>微软用户</dc:creator>
  <cp:lastModifiedBy>WPS_1649062570</cp:lastModifiedBy>
  <cp:lastPrinted>2019-08-16T08:40:00Z</cp:lastPrinted>
  <dcterms:modified xsi:type="dcterms:W3CDTF">2025-06-19T09:46:54Z</dcterms:modified>
  <dc:title>关于职工倒班楼宿舍收费的通知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eyJoZGlkIjoiYmIxZTgyNWM3YzhlMjk2OWM3YmFlZWE0ZTk4M2NiZDciLCJ1c2VySWQiOiIxMzQ5ODk2MDA1In0=</vt:lpwstr>
  </property>
  <property fmtid="{D5CDD505-2E9C-101B-9397-08002B2CF9AE}" pid="4" name="ICV">
    <vt:lpwstr>9E3FF1BAB5054A47A40513BCAF46CF75_13</vt:lpwstr>
  </property>
</Properties>
</file>